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C49B" w14:textId="61A5E072" w:rsidR="00706006" w:rsidRDefault="00376F6F" w:rsidP="00376F6F">
      <w:pPr>
        <w:pStyle w:val="Title"/>
        <w:rPr>
          <w:lang w:val="en-US"/>
        </w:rPr>
      </w:pPr>
      <w:r>
        <w:rPr>
          <w:lang w:val="en-US"/>
        </w:rPr>
        <w:t>Lateral Ankle Sprain</w:t>
      </w:r>
    </w:p>
    <w:p w14:paraId="4747F805" w14:textId="77777777" w:rsidR="00376F6F" w:rsidRPr="00376F6F" w:rsidRDefault="00376F6F" w:rsidP="00376F6F">
      <w:r w:rsidRPr="00376F6F">
        <w:t>Lateral ankle sprains (LAS) are the most common musculoskeletal injuries in athletes and are highly prevalent in the general population. </w:t>
      </w:r>
      <w:r w:rsidRPr="00376F6F">
        <w:rPr>
          <w:b/>
          <w:bCs/>
        </w:rPr>
        <w:t>Children aged 12 or younger exhibit the highest incidence rates</w:t>
      </w:r>
      <w:r w:rsidRPr="00376F6F">
        <w:t> (2.85 per 1,000 exposures), while among adults, </w:t>
      </w:r>
      <w:r w:rsidRPr="00376F6F">
        <w:rPr>
          <w:b/>
          <w:bCs/>
        </w:rPr>
        <w:t>females are reported to have nearly double the incidence rate of males</w:t>
      </w:r>
      <w:r w:rsidRPr="00376F6F">
        <w:t>. Approximately 40% of traumatic ankle injuries occur during sports, with indoor and court sports like </w:t>
      </w:r>
      <w:r w:rsidRPr="00376F6F">
        <w:rPr>
          <w:b/>
          <w:bCs/>
        </w:rPr>
        <w:t>basketball and volleyball</w:t>
      </w:r>
      <w:r w:rsidRPr="00376F6F">
        <w:t> posing the highest risk, reaching an incidence of 7 per 1,000 exposures. Despite this high prevalence, only about 50% of individuals seek medical attention.</w:t>
      </w:r>
    </w:p>
    <w:p w14:paraId="2F02C43D" w14:textId="77777777" w:rsidR="00376F6F" w:rsidRPr="00376F6F" w:rsidRDefault="00376F6F" w:rsidP="00376F6F">
      <w:pPr>
        <w:pStyle w:val="Heading1"/>
      </w:pPr>
      <w:r w:rsidRPr="00376F6F">
        <w:t>Typical Patient Presentation and History</w:t>
      </w:r>
    </w:p>
    <w:p w14:paraId="182F2BA2" w14:textId="77777777" w:rsidR="00376F6F" w:rsidRPr="00376F6F" w:rsidRDefault="00376F6F" w:rsidP="00376F6F">
      <w:r w:rsidRPr="00376F6F">
        <w:t>Patients typically present following a </w:t>
      </w:r>
      <w:r w:rsidRPr="00376F6F">
        <w:rPr>
          <w:b/>
          <w:bCs/>
        </w:rPr>
        <w:t>sudden onset inversion-related injury</w:t>
      </w:r>
      <w:r w:rsidRPr="00376F6F">
        <w:t>. History taking should include the trauma mechanism, ability to bear weight immediately after injury, and any history of previous ankle instability or sprains. Presentation often includes </w:t>
      </w:r>
      <w:r w:rsidRPr="00376F6F">
        <w:rPr>
          <w:b/>
          <w:bCs/>
        </w:rPr>
        <w:t>acute pain, swelling, and impaired function</w:t>
      </w:r>
      <w:r w:rsidRPr="00376F6F">
        <w:t>, such as a limited ability to walk or bear weight. Injuries are clinically graded to indicate severity:</w:t>
      </w:r>
    </w:p>
    <w:p w14:paraId="1CC058AF" w14:textId="7E38148B" w:rsidR="00376F6F" w:rsidRDefault="00376F6F" w:rsidP="00376F6F">
      <w:pPr>
        <w:pStyle w:val="Heading3"/>
      </w:pPr>
      <w:r w:rsidRPr="00376F6F">
        <w:t>Grade I: </w:t>
      </w:r>
    </w:p>
    <w:p w14:paraId="64A9A6AA" w14:textId="7E8DB0B0" w:rsidR="00376F6F" w:rsidRPr="00376F6F" w:rsidRDefault="00376F6F" w:rsidP="00376F6F">
      <w:r w:rsidRPr="00376F6F">
        <w:t>Ligaments are stretched without macroscopic tearing; the ankle remains stable.</w:t>
      </w:r>
    </w:p>
    <w:p w14:paraId="4FB7C457" w14:textId="49F2250F" w:rsidR="00376F6F" w:rsidRDefault="00376F6F" w:rsidP="00376F6F">
      <w:pPr>
        <w:pStyle w:val="Heading3"/>
      </w:pPr>
      <w:r w:rsidRPr="00376F6F">
        <w:t>Grade II: </w:t>
      </w:r>
    </w:p>
    <w:p w14:paraId="5B6BA62B" w14:textId="5E99DCC8" w:rsidR="00376F6F" w:rsidRPr="00376F6F" w:rsidRDefault="00376F6F" w:rsidP="00376F6F">
      <w:r w:rsidRPr="00376F6F">
        <w:t>Partial ligament tearing, typically involving a complete tear of the anterior talofibular ligament (ATFL) and a partial tear of the calcaneofibular ligament (CFL); results in some instability and positive special tests.</w:t>
      </w:r>
    </w:p>
    <w:p w14:paraId="1F5D8C2A" w14:textId="6BD95EB1" w:rsidR="00376F6F" w:rsidRDefault="00376F6F" w:rsidP="00376F6F">
      <w:pPr>
        <w:pStyle w:val="Heading3"/>
      </w:pPr>
      <w:r w:rsidRPr="00376F6F">
        <w:t>Grade III: </w:t>
      </w:r>
    </w:p>
    <w:p w14:paraId="4BD2945D" w14:textId="69849BE5" w:rsidR="00376F6F" w:rsidRPr="00376F6F" w:rsidRDefault="00376F6F" w:rsidP="00376F6F">
      <w:r w:rsidRPr="00376F6F">
        <w:t>Complete rupture of all three lateral ligaments, associated with significant instability and haematoma.</w:t>
      </w:r>
    </w:p>
    <w:p w14:paraId="68929E55" w14:textId="77777777" w:rsidR="00376F6F" w:rsidRPr="00376F6F" w:rsidRDefault="00376F6F" w:rsidP="00376F6F">
      <w:pPr>
        <w:pStyle w:val="Heading2"/>
      </w:pPr>
      <w:r w:rsidRPr="00376F6F">
        <w:t>Diagnosis</w:t>
      </w:r>
    </w:p>
    <w:p w14:paraId="5BD107F5" w14:textId="77777777" w:rsidR="00376F6F" w:rsidRPr="00376F6F" w:rsidRDefault="00376F6F" w:rsidP="00376F6F">
      <w:r w:rsidRPr="00376F6F">
        <w:t>The diagnostic process prioritises </w:t>
      </w:r>
      <w:r w:rsidRPr="00376F6F">
        <w:rPr>
          <w:b/>
          <w:bCs/>
        </w:rPr>
        <w:t>excluding fractures using the Ottawa Ankle Rules (OAR)</w:t>
      </w:r>
      <w:r w:rsidRPr="00376F6F">
        <w:t>, which have a very high sensitivity (92%–100%) for identifying fractures of the malleoli, midfoot, and base of the fifth metatarsal. To assess ligamentous damage, </w:t>
      </w:r>
      <w:r w:rsidRPr="00376F6F">
        <w:rPr>
          <w:b/>
          <w:bCs/>
        </w:rPr>
        <w:t>physical examination is most reliable when delayed 4–5 days post-trauma</w:t>
      </w:r>
      <w:r w:rsidRPr="00376F6F">
        <w:t>, as the sensitivity and specificity of tests like the anterior drawer test are optimised during this window. Specific clinical tests include:</w:t>
      </w:r>
    </w:p>
    <w:p w14:paraId="7D2B1D1D" w14:textId="6F025234" w:rsidR="00376F6F" w:rsidRPr="00376F6F" w:rsidRDefault="00376F6F" w:rsidP="00376F6F">
      <w:r w:rsidRPr="00376F6F">
        <w:rPr>
          <w:b/>
          <w:bCs/>
        </w:rPr>
        <w:t>Anterior Drawer Test:</w:t>
      </w:r>
      <w:r w:rsidRPr="00376F6F">
        <w:t> Primarily assesses the ATFL.</w:t>
      </w:r>
    </w:p>
    <w:p w14:paraId="7A08DCF0" w14:textId="00A90D25" w:rsidR="00376F6F" w:rsidRPr="00376F6F" w:rsidRDefault="00376F6F" w:rsidP="00376F6F">
      <w:r w:rsidRPr="00376F6F">
        <w:rPr>
          <w:b/>
          <w:bCs/>
        </w:rPr>
        <w:t>Talar Tilt Test:</w:t>
      </w:r>
      <w:r w:rsidRPr="00376F6F">
        <w:t> Evaluates the CFL.</w:t>
      </w:r>
    </w:p>
    <w:p w14:paraId="4110E9AF" w14:textId="47187C11" w:rsidR="00376F6F" w:rsidRPr="00376F6F" w:rsidRDefault="00376F6F" w:rsidP="00376F6F">
      <w:r w:rsidRPr="00376F6F">
        <w:rPr>
          <w:b/>
          <w:bCs/>
        </w:rPr>
        <w:t>Reverse Anterolateral Drawer Test:</w:t>
      </w:r>
      <w:r w:rsidRPr="00376F6F">
        <w:t> Found to be more sensitive and accurate than the traditional anterior drawer for ATFL injuries.</w:t>
      </w:r>
    </w:p>
    <w:p w14:paraId="40E1BA36" w14:textId="77777777" w:rsidR="00376F6F" w:rsidRPr="00376F6F" w:rsidRDefault="00376F6F" w:rsidP="00376F6F">
      <w:r w:rsidRPr="00376F6F">
        <w:rPr>
          <w:b/>
          <w:bCs/>
        </w:rPr>
        <w:t>Ultrasound</w:t>
      </w:r>
      <w:r w:rsidRPr="00376F6F">
        <w:t> offers high sensitivity (99% for ATFL) and is a cost-effective adjunct for real-time visualization of laxity. </w:t>
      </w:r>
      <w:r w:rsidRPr="00376F6F">
        <w:rPr>
          <w:b/>
          <w:bCs/>
        </w:rPr>
        <w:t>MRI</w:t>
      </w:r>
      <w:r w:rsidRPr="00376F6F">
        <w:t> is reserved for suspected high-grade injuries, occult fractures, or persistent symptoms where underlying joint damage is suspected.</w:t>
      </w:r>
    </w:p>
    <w:p w14:paraId="2EB18914" w14:textId="77777777" w:rsidR="00376F6F" w:rsidRPr="00376F6F" w:rsidRDefault="00376F6F" w:rsidP="00376F6F">
      <w:pPr>
        <w:pStyle w:val="Heading2"/>
      </w:pPr>
      <w:r w:rsidRPr="00376F6F">
        <w:lastRenderedPageBreak/>
        <w:t>Management</w:t>
      </w:r>
    </w:p>
    <w:p w14:paraId="6BE48779" w14:textId="77777777" w:rsidR="00376F6F" w:rsidRPr="00376F6F" w:rsidRDefault="00376F6F" w:rsidP="00376F6F">
      <w:r w:rsidRPr="00376F6F">
        <w:t>Management is divided into acute treatment and long-term prevention.</w:t>
      </w:r>
    </w:p>
    <w:p w14:paraId="23410D1C" w14:textId="5BD60240" w:rsidR="00376F6F" w:rsidRDefault="00376F6F" w:rsidP="00376F6F">
      <w:pPr>
        <w:pStyle w:val="Heading3"/>
      </w:pPr>
      <w:r w:rsidRPr="00376F6F">
        <w:t>Acute Phase: </w:t>
      </w:r>
    </w:p>
    <w:p w14:paraId="392E2A8A" w14:textId="115C76AA" w:rsidR="00376F6F" w:rsidRPr="00376F6F" w:rsidRDefault="00376F6F" w:rsidP="00376F6F">
      <w:r w:rsidRPr="00376F6F">
        <w:t>There is </w:t>
      </w:r>
      <w:r w:rsidRPr="00376F6F">
        <w:rPr>
          <w:b/>
          <w:bCs/>
        </w:rPr>
        <w:t>strong evidence for the use of functional support</w:t>
      </w:r>
      <w:r w:rsidRPr="00376F6F">
        <w:t> (bracing or taping) over rigid immobilization. </w:t>
      </w:r>
      <w:r w:rsidRPr="00376F6F">
        <w:rPr>
          <w:b/>
          <w:bCs/>
        </w:rPr>
        <w:t>Immobilization (casts) should be restricted to a maximum of 10 days</w:t>
      </w:r>
      <w:r w:rsidRPr="00376F6F">
        <w:t> for severe Grade III sprains to reduce pain and oedema before starting functional treatment.</w:t>
      </w:r>
    </w:p>
    <w:p w14:paraId="085BE61C" w14:textId="739E8B99" w:rsidR="00376F6F" w:rsidRDefault="00376F6F" w:rsidP="00376F6F">
      <w:pPr>
        <w:pStyle w:val="Heading3"/>
      </w:pPr>
      <w:r w:rsidRPr="00376F6F">
        <w:t>Pharmacology: </w:t>
      </w:r>
    </w:p>
    <w:p w14:paraId="3B22B418" w14:textId="5F458067" w:rsidR="00376F6F" w:rsidRPr="00376F6F" w:rsidRDefault="00376F6F" w:rsidP="00376F6F">
      <w:r w:rsidRPr="00376F6F">
        <w:rPr>
          <w:b/>
          <w:bCs/>
        </w:rPr>
        <w:t>Strong evidence supports short-term use of NSAIDs</w:t>
      </w:r>
      <w:r w:rsidRPr="00376F6F">
        <w:t> (oral or topical) to reduce pain and swelling, though paracetamol and opioids are effective alternatives.</w:t>
      </w:r>
    </w:p>
    <w:p w14:paraId="526110B8" w14:textId="4014B50C" w:rsidR="00376F6F" w:rsidRDefault="00376F6F" w:rsidP="00376F6F">
      <w:pPr>
        <w:pStyle w:val="Heading3"/>
      </w:pPr>
      <w:r w:rsidRPr="00376F6F">
        <w:t>RICE Therapy: </w:t>
      </w:r>
    </w:p>
    <w:p w14:paraId="3D63CCE4" w14:textId="245E57F5" w:rsidR="00376F6F" w:rsidRPr="00376F6F" w:rsidRDefault="00376F6F" w:rsidP="00376F6F">
      <w:r w:rsidRPr="00376F6F">
        <w:t>While widely practiced, there is </w:t>
      </w:r>
      <w:r w:rsidRPr="00376F6F">
        <w:rPr>
          <w:b/>
          <w:bCs/>
        </w:rPr>
        <w:t>insufficient evidence to support the effectiveness of RICE alone</w:t>
      </w:r>
      <w:r w:rsidRPr="00376F6F">
        <w:t>. However, cryotherapy combined with exercise therapy can significantly improve short-term function and loading.</w:t>
      </w:r>
    </w:p>
    <w:p w14:paraId="41DF5656" w14:textId="0A222860" w:rsidR="00376F6F" w:rsidRDefault="00376F6F" w:rsidP="00376F6F">
      <w:pPr>
        <w:pStyle w:val="Heading3"/>
      </w:pPr>
      <w:r w:rsidRPr="00376F6F">
        <w:t>Exercise and Manual Therapy: </w:t>
      </w:r>
    </w:p>
    <w:p w14:paraId="38B82E4E" w14:textId="75726D7D" w:rsidR="00376F6F" w:rsidRPr="00376F6F" w:rsidRDefault="00376F6F" w:rsidP="00376F6F">
      <w:r w:rsidRPr="00376F6F">
        <w:rPr>
          <w:b/>
          <w:bCs/>
        </w:rPr>
        <w:t>Supervised exercise-based programmes</w:t>
      </w:r>
      <w:r w:rsidRPr="00376F6F">
        <w:t> focusing on neuromuscular and proprioceptive training are strongly supported for stimulating functional joint stability. </w:t>
      </w:r>
      <w:r w:rsidRPr="00376F6F">
        <w:rPr>
          <w:b/>
          <w:bCs/>
        </w:rPr>
        <w:t>Manual therapy</w:t>
      </w:r>
      <w:r w:rsidRPr="00376F6F">
        <w:t> (joint mobilisations) provides a short-term increase in range of motion and pain reduction when combined with exercise.</w:t>
      </w:r>
    </w:p>
    <w:p w14:paraId="7BDF87C3" w14:textId="409CA505" w:rsidR="00376F6F" w:rsidRDefault="00376F6F" w:rsidP="00376F6F">
      <w:pPr>
        <w:pStyle w:val="Heading3"/>
      </w:pPr>
      <w:r w:rsidRPr="00376F6F">
        <w:t>Surgery: </w:t>
      </w:r>
    </w:p>
    <w:p w14:paraId="0CD53A42" w14:textId="5B73931C" w:rsidR="00376F6F" w:rsidRPr="00376F6F" w:rsidRDefault="00376F6F" w:rsidP="00376F6F">
      <w:r w:rsidRPr="00376F6F">
        <w:t>This is controversial for acute sprains and should be reserved for cases that fail to respond to thorough conservative management or for professional athletes requiring quick recovery.</w:t>
      </w:r>
    </w:p>
    <w:p w14:paraId="6D36DC3F" w14:textId="2ABB75B2" w:rsidR="00376F6F" w:rsidRDefault="00376F6F" w:rsidP="00376F6F">
      <w:pPr>
        <w:pStyle w:val="Heading3"/>
      </w:pPr>
      <w:r w:rsidRPr="00376F6F">
        <w:t>Prevention: </w:t>
      </w:r>
    </w:p>
    <w:p w14:paraId="6B28BA3C" w14:textId="54737AB2" w:rsidR="00376F6F" w:rsidRPr="00376F6F" w:rsidRDefault="00376F6F" w:rsidP="00376F6F">
      <w:r w:rsidRPr="00376F6F">
        <w:t>There is </w:t>
      </w:r>
      <w:r w:rsidRPr="00376F6F">
        <w:rPr>
          <w:b/>
          <w:bCs/>
        </w:rPr>
        <w:t>strong evidence for bracing and moderate to strong evidence for neuromuscular/proprioceptive training</w:t>
      </w:r>
      <w:r w:rsidRPr="00376F6F">
        <w:t> in preventing recurrent ankle sprains. </w:t>
      </w:r>
      <w:r w:rsidRPr="00376F6F">
        <w:rPr>
          <w:b/>
          <w:bCs/>
        </w:rPr>
        <w:t>Prophylactic bracing</w:t>
      </w:r>
      <w:r w:rsidRPr="00376F6F">
        <w:t> is also recommended for high-risk activities to prevent first-time sprains</w:t>
      </w:r>
    </w:p>
    <w:p w14:paraId="2940D473" w14:textId="6250AE74" w:rsidR="00376F6F" w:rsidRDefault="002843E7" w:rsidP="002843E7">
      <w:pPr>
        <w:pStyle w:val="Heading1"/>
        <w:rPr>
          <w:lang w:val="en-US"/>
        </w:rPr>
      </w:pPr>
      <w:r w:rsidRPr="002843E7">
        <w:rPr>
          <w:lang w:val="en-US"/>
        </w:rPr>
        <w:t>Evidence-Based Rehabilitation and Management of Lateral Ankle Sprains</w:t>
      </w:r>
    </w:p>
    <w:p w14:paraId="5D4C477E" w14:textId="77777777" w:rsidR="002843E7" w:rsidRPr="002843E7" w:rsidRDefault="002843E7" w:rsidP="002843E7">
      <w:r w:rsidRPr="002843E7">
        <w:t>A comprehensive evidence-based rehabilitation programme for lateral ankle sprain (LAS) prioritises </w:t>
      </w:r>
      <w:r w:rsidRPr="002843E7">
        <w:rPr>
          <w:b/>
          <w:bCs/>
        </w:rPr>
        <w:t>early functional treatment and progressive loading</w:t>
      </w:r>
      <w:r w:rsidRPr="002843E7">
        <w:t> over rigid immobilisation. For first-time sprains, the programme should begin with the use of </w:t>
      </w:r>
      <w:r w:rsidRPr="002843E7">
        <w:rPr>
          <w:b/>
          <w:bCs/>
        </w:rPr>
        <w:t>functional supports</w:t>
      </w:r>
      <w:r w:rsidRPr="002843E7">
        <w:t>, such as braces or tape, which allow for protected movement while avoiding the loss of muscle strength and proprioceptive impairment associated with casts. </w:t>
      </w:r>
      <w:r w:rsidRPr="002843E7">
        <w:rPr>
          <w:b/>
          <w:bCs/>
        </w:rPr>
        <w:t>Progressive weight-bearing</w:t>
      </w:r>
      <w:r w:rsidRPr="002843E7">
        <w:t> should be initiated as soon as pain allows to facilitate a faster return to work and sport. In instances of severe Grade III injuries, a short period of </w:t>
      </w:r>
      <w:r w:rsidRPr="002843E7">
        <w:rPr>
          <w:b/>
          <w:bCs/>
        </w:rPr>
        <w:t>immobilisation in a below-knee cast</w:t>
      </w:r>
      <w:r w:rsidRPr="002843E7">
        <w:t> may be used to manage acute pain and oedema, but this must be restricted to a </w:t>
      </w:r>
      <w:r w:rsidRPr="002843E7">
        <w:rPr>
          <w:b/>
          <w:bCs/>
        </w:rPr>
        <w:t>maximum of 10 days</w:t>
      </w:r>
      <w:r w:rsidRPr="002843E7">
        <w:t>.</w:t>
      </w:r>
    </w:p>
    <w:p w14:paraId="525F924D" w14:textId="77777777" w:rsidR="002843E7" w:rsidRPr="002843E7" w:rsidRDefault="002843E7" w:rsidP="002843E7">
      <w:r w:rsidRPr="002843E7">
        <w:rPr>
          <w:b/>
          <w:bCs/>
        </w:rPr>
        <w:t>Exercise therapy</w:t>
      </w:r>
      <w:r w:rsidRPr="002843E7">
        <w:t xml:space="preserve"> is the fundamental component for both acute and recurrent sprains and should be commenced as early as possible after the injury. A structured programme must </w:t>
      </w:r>
      <w:r w:rsidRPr="002843E7">
        <w:lastRenderedPageBreak/>
        <w:t>include </w:t>
      </w:r>
      <w:r w:rsidRPr="002843E7">
        <w:rPr>
          <w:b/>
          <w:bCs/>
        </w:rPr>
        <w:t>neuromuscular training, balance re-education, and proprioceptive exercises</w:t>
      </w:r>
      <w:r w:rsidRPr="002843E7">
        <w:t> to restore functional joint stability. Evidence indicates that the effectiveness of these programmes in preventing recurrence is significantly enhanced when administered in </w:t>
      </w:r>
      <w:r w:rsidRPr="002843E7">
        <w:rPr>
          <w:b/>
          <w:bCs/>
        </w:rPr>
        <w:t>high doses (exceeding 900 minutes total)</w:t>
      </w:r>
      <w:r w:rsidRPr="002843E7">
        <w:t>. For patients with </w:t>
      </w:r>
      <w:r w:rsidRPr="002843E7">
        <w:rPr>
          <w:b/>
          <w:bCs/>
        </w:rPr>
        <w:t>Chronic Ankle Instability (CAI)</w:t>
      </w:r>
      <w:r w:rsidRPr="002843E7">
        <w:t> or recurrent sprains, the programme should adopt a more holistic approach, incorporating </w:t>
      </w:r>
      <w:r w:rsidRPr="002843E7">
        <w:rPr>
          <w:b/>
          <w:bCs/>
        </w:rPr>
        <w:t>proximal strengthening of the gluteal and core musculature</w:t>
      </w:r>
      <w:r w:rsidRPr="002843E7">
        <w:t> to improve dynamic control of the lower kinetic chain.</w:t>
      </w:r>
    </w:p>
    <w:p w14:paraId="377C7288" w14:textId="77777777" w:rsidR="002843E7" w:rsidRPr="002843E7" w:rsidRDefault="002843E7" w:rsidP="002843E7">
      <w:r w:rsidRPr="002843E7">
        <w:rPr>
          <w:b/>
          <w:bCs/>
        </w:rPr>
        <w:t>Manual therapy</w:t>
      </w:r>
      <w:r w:rsidRPr="002843E7">
        <w:t>, including lymphatic drainage and joint mobilisations (specifically anterior-to-posterior talar glides), should be integrated to reduce pain and provide a short-term increase in </w:t>
      </w:r>
      <w:r w:rsidRPr="002843E7">
        <w:rPr>
          <w:b/>
          <w:bCs/>
        </w:rPr>
        <w:t>dorsiflexion range of motion</w:t>
      </w:r>
      <w:r w:rsidRPr="002843E7">
        <w:t>. These techniques are most effective when combined with active exercise rather than used as stand-alone passive modalities. </w:t>
      </w:r>
      <w:r w:rsidRPr="002843E7">
        <w:rPr>
          <w:b/>
          <w:bCs/>
        </w:rPr>
        <w:t>Pharmacological support</w:t>
      </w:r>
      <w:r w:rsidRPr="002843E7">
        <w:t> with oral or topical </w:t>
      </w:r>
      <w:r w:rsidRPr="002843E7">
        <w:rPr>
          <w:b/>
          <w:bCs/>
        </w:rPr>
        <w:t>NSAIDs</w:t>
      </w:r>
      <w:r w:rsidRPr="002843E7">
        <w:t> is recommended in the acute phase (&lt;14 days) to reduce pain and swelling, although paracetamol and opioids are effective alternatives. While </w:t>
      </w:r>
      <w:r w:rsidRPr="002843E7">
        <w:rPr>
          <w:b/>
          <w:bCs/>
        </w:rPr>
        <w:t>RICE therapy</w:t>
      </w:r>
      <w:r w:rsidRPr="002843E7">
        <w:t> (rest, ice, compression, elevation) is standard practice, it lacks strong evidence as an isolated treatment; however, </w:t>
      </w:r>
      <w:r w:rsidRPr="002843E7">
        <w:rPr>
          <w:b/>
          <w:bCs/>
        </w:rPr>
        <w:t>cryotherapy</w:t>
      </w:r>
      <w:r w:rsidRPr="002843E7">
        <w:t> used alongside exercise can significantly improve short-term loading capacity.</w:t>
      </w:r>
    </w:p>
    <w:p w14:paraId="3C42AE16" w14:textId="77777777" w:rsidR="002843E7" w:rsidRPr="002843E7" w:rsidRDefault="002843E7" w:rsidP="002843E7">
      <w:r w:rsidRPr="002843E7">
        <w:t>For long-term management and </w:t>
      </w:r>
      <w:r w:rsidRPr="002843E7">
        <w:rPr>
          <w:b/>
          <w:bCs/>
        </w:rPr>
        <w:t>secondary prevention</w:t>
      </w:r>
      <w:r w:rsidRPr="002843E7">
        <w:t>, the use of a </w:t>
      </w:r>
      <w:r w:rsidRPr="002843E7">
        <w:rPr>
          <w:b/>
          <w:bCs/>
        </w:rPr>
        <w:t>prophylactic brace</w:t>
      </w:r>
      <w:r w:rsidRPr="002843E7">
        <w:t> for 6 to 12 months is strongly advised, particularly during high-risk sports activities. The progression toward </w:t>
      </w:r>
      <w:r w:rsidRPr="002843E7">
        <w:rPr>
          <w:b/>
          <w:bCs/>
        </w:rPr>
        <w:t>return to sport</w:t>
      </w:r>
      <w:r w:rsidRPr="002843E7">
        <w:t> should be criteria-based, focusing on objective measures of static balance, sport-specific movement patterns, and the mitigation of psychological factors such as </w:t>
      </w:r>
      <w:proofErr w:type="spellStart"/>
      <w:r w:rsidRPr="002843E7">
        <w:rPr>
          <w:b/>
          <w:bCs/>
        </w:rPr>
        <w:t>kinesiophobia</w:t>
      </w:r>
      <w:proofErr w:type="spellEnd"/>
      <w:r w:rsidRPr="002843E7">
        <w:t>. </w:t>
      </w:r>
      <w:r w:rsidRPr="002843E7">
        <w:rPr>
          <w:b/>
          <w:bCs/>
        </w:rPr>
        <w:t>Surgery</w:t>
      </w:r>
      <w:r w:rsidRPr="002843E7">
        <w:t> is not recommended as a primary treatment for acute sprains and should only be considered for professional athletes requiring rapid recovery or for cases of chronic instability that have failed to respond to a comprehensive, supervised exercise programme</w:t>
      </w:r>
    </w:p>
    <w:p w14:paraId="1777E394" w14:textId="77777777" w:rsidR="002843E7" w:rsidRPr="00376F6F" w:rsidRDefault="002843E7" w:rsidP="00376F6F">
      <w:pPr>
        <w:rPr>
          <w:lang w:val="en-US"/>
        </w:rPr>
      </w:pPr>
    </w:p>
    <w:sectPr w:rsidR="002843E7" w:rsidRPr="00376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6F"/>
    <w:rsid w:val="000C0856"/>
    <w:rsid w:val="002843E7"/>
    <w:rsid w:val="00376F6F"/>
    <w:rsid w:val="00461D43"/>
    <w:rsid w:val="005C76DD"/>
    <w:rsid w:val="00626871"/>
    <w:rsid w:val="006C097A"/>
    <w:rsid w:val="00706006"/>
    <w:rsid w:val="00877577"/>
    <w:rsid w:val="00B652C1"/>
    <w:rsid w:val="00E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4AE54"/>
  <w15:chartTrackingRefBased/>
  <w15:docId w15:val="{F33F6846-6DBE-4481-AA0E-EBD0B013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6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6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76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F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972</Words>
  <Characters>5972</Characters>
  <Application>Microsoft Office Word</Application>
  <DocSecurity>0</DocSecurity>
  <Lines>106</Lines>
  <Paragraphs>60</Paragraphs>
  <ScaleCrop>false</ScaleCrop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Whiteley</dc:creator>
  <cp:keywords/>
  <dc:description/>
  <cp:lastModifiedBy>Rodney Whiteley</cp:lastModifiedBy>
  <cp:revision>3</cp:revision>
  <dcterms:created xsi:type="dcterms:W3CDTF">2026-02-01T07:34:00Z</dcterms:created>
  <dcterms:modified xsi:type="dcterms:W3CDTF">2026-02-01T07:40:00Z</dcterms:modified>
</cp:coreProperties>
</file>