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178C" w14:textId="32FD0745" w:rsidR="00706006" w:rsidRDefault="00D80402" w:rsidP="00D80402">
      <w:pPr>
        <w:pStyle w:val="Title"/>
      </w:pPr>
      <w:r w:rsidRPr="00D80402">
        <w:t>Clavicle Fractures: Anatomical Classification and Clinical Management</w:t>
      </w:r>
    </w:p>
    <w:p w14:paraId="741768FB" w14:textId="77777777" w:rsidR="00590FDE" w:rsidRPr="00590FDE" w:rsidRDefault="00590FDE" w:rsidP="00590FDE">
      <w:r w:rsidRPr="00590FDE">
        <w:t>Clavicle fractures are generally classified into </w:t>
      </w:r>
      <w:r w:rsidRPr="00590FDE">
        <w:rPr>
          <w:b/>
          <w:bCs/>
        </w:rPr>
        <w:t>three main groups based on their anatomical location</w:t>
      </w:r>
      <w:r w:rsidRPr="00590FDE">
        <w:t>: the middle third (</w:t>
      </w:r>
      <w:r w:rsidRPr="00590FDE">
        <w:rPr>
          <w:b/>
          <w:bCs/>
        </w:rPr>
        <w:t>midshaft</w:t>
      </w:r>
      <w:r w:rsidRPr="00590FDE">
        <w:t>), the lateral third (</w:t>
      </w:r>
      <w:r w:rsidRPr="00590FDE">
        <w:rPr>
          <w:b/>
          <w:bCs/>
        </w:rPr>
        <w:t>distal</w:t>
      </w:r>
      <w:r w:rsidRPr="00590FDE">
        <w:t>), and the medial third (</w:t>
      </w:r>
      <w:r w:rsidRPr="00590FDE">
        <w:rPr>
          <w:b/>
          <w:bCs/>
        </w:rPr>
        <w:t>proximal</w:t>
      </w:r>
      <w:r w:rsidRPr="00590FDE">
        <w:t>).</w:t>
      </w:r>
    </w:p>
    <w:p w14:paraId="41234B89" w14:textId="77777777" w:rsidR="00590FDE" w:rsidRPr="00590FDE" w:rsidRDefault="00590FDE" w:rsidP="00244FE7">
      <w:pPr>
        <w:pStyle w:val="Heading1"/>
      </w:pPr>
      <w:r w:rsidRPr="00590FDE">
        <w:t>Midshaft Clavicle Fractures (Group I)</w:t>
      </w:r>
    </w:p>
    <w:p w14:paraId="0215A568" w14:textId="77777777" w:rsidR="00590FDE" w:rsidRPr="00590FDE" w:rsidRDefault="00590FDE" w:rsidP="00590FDE">
      <w:r w:rsidRPr="00590FDE">
        <w:t>Fractures of the middle third are the most common type, accounting for </w:t>
      </w:r>
      <w:r w:rsidRPr="00590FDE">
        <w:rPr>
          <w:b/>
          <w:bCs/>
        </w:rPr>
        <w:t>69% to 82% of all clavicle injuries</w:t>
      </w:r>
      <w:r w:rsidRPr="00590FDE">
        <w:t>. They typically occur due to a direct blow to the shoulder or a fall, as this area lacks the strong muscular or ligamentous attachments found at the ends of the bone.</w:t>
      </w:r>
    </w:p>
    <w:p w14:paraId="13774A12" w14:textId="77777777" w:rsidR="00590FDE" w:rsidRPr="00590FDE" w:rsidRDefault="00590FDE" w:rsidP="00590FDE">
      <w:r w:rsidRPr="00590FDE">
        <w:t>• </w:t>
      </w:r>
      <w:r w:rsidRPr="00590FDE">
        <w:rPr>
          <w:b/>
          <w:bCs/>
        </w:rPr>
        <w:t>Classification:</w:t>
      </w:r>
      <w:r w:rsidRPr="00590FDE">
        <w:t> These are often categorised using the </w:t>
      </w:r>
      <w:r w:rsidRPr="00590FDE">
        <w:rPr>
          <w:b/>
          <w:bCs/>
        </w:rPr>
        <w:t>Edinburgh</w:t>
      </w:r>
      <w:r w:rsidRPr="00590FDE">
        <w:t> or </w:t>
      </w:r>
      <w:r w:rsidRPr="00590FDE">
        <w:rPr>
          <w:b/>
          <w:bCs/>
        </w:rPr>
        <w:t>Robinson</w:t>
      </w:r>
      <w:r w:rsidRPr="00590FDE">
        <w:t> systems. The Edinburgh system labels them as Type II, while the Robinson system classifies them as Type 2, further subdivided into </w:t>
      </w:r>
      <w:r w:rsidRPr="00590FDE">
        <w:rPr>
          <w:b/>
          <w:bCs/>
        </w:rPr>
        <w:t>2a (</w:t>
      </w:r>
      <w:proofErr w:type="spellStart"/>
      <w:r w:rsidRPr="00590FDE">
        <w:rPr>
          <w:b/>
          <w:bCs/>
        </w:rPr>
        <w:t>undisplaced</w:t>
      </w:r>
      <w:proofErr w:type="spellEnd"/>
      <w:r w:rsidRPr="00590FDE">
        <w:rPr>
          <w:b/>
          <w:bCs/>
        </w:rPr>
        <w:t>)</w:t>
      </w:r>
      <w:r w:rsidRPr="00590FDE">
        <w:t> and </w:t>
      </w:r>
      <w:r w:rsidRPr="00590FDE">
        <w:rPr>
          <w:b/>
          <w:bCs/>
        </w:rPr>
        <w:t>2b (displaced)</w:t>
      </w:r>
      <w:r w:rsidRPr="00590FDE">
        <w:t>, with 2b further split into simple, wedge comminution, or segmental patterns.</w:t>
      </w:r>
    </w:p>
    <w:p w14:paraId="62614C5C" w14:textId="4139BE96" w:rsidR="00590FDE" w:rsidRPr="00590FDE" w:rsidRDefault="00590FDE" w:rsidP="00317187">
      <w:pPr>
        <w:pStyle w:val="Heading2"/>
      </w:pPr>
      <w:r w:rsidRPr="00590FDE">
        <w:t>Treatment Options:</w:t>
      </w:r>
    </w:p>
    <w:p w14:paraId="49BB62A0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Conservative:</w:t>
      </w:r>
      <w:r w:rsidRPr="00590FDE">
        <w:t> This is the standard of care for </w:t>
      </w:r>
      <w:proofErr w:type="spellStart"/>
      <w:r w:rsidRPr="00590FDE">
        <w:rPr>
          <w:b/>
          <w:bCs/>
        </w:rPr>
        <w:t>undisplaced</w:t>
      </w:r>
      <w:proofErr w:type="spellEnd"/>
      <w:r w:rsidRPr="00590FDE">
        <w:rPr>
          <w:b/>
          <w:bCs/>
        </w:rPr>
        <w:t xml:space="preserve"> or minimally displaced</w:t>
      </w:r>
      <w:r w:rsidRPr="00590FDE">
        <w:t> fractures, involving sling immobilisation for 2–6 weeks followed by rehabilitation.</w:t>
      </w:r>
    </w:p>
    <w:p w14:paraId="34C381F9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Surgical:</w:t>
      </w:r>
      <w:r w:rsidRPr="00590FDE">
        <w:t> Operative intervention is increasingly recommended for </w:t>
      </w:r>
      <w:r w:rsidRPr="00590FDE">
        <w:rPr>
          <w:b/>
          <w:bCs/>
        </w:rPr>
        <w:t>completely displaced fractures</w:t>
      </w:r>
      <w:r w:rsidRPr="00590FDE">
        <w:t>, those with </w:t>
      </w:r>
      <w:r w:rsidRPr="00590FDE">
        <w:rPr>
          <w:b/>
          <w:bCs/>
        </w:rPr>
        <w:t>shortening &gt;2 cm</w:t>
      </w:r>
      <w:r w:rsidRPr="00590FDE">
        <w:t>, or significant comminution, especially in </w:t>
      </w:r>
      <w:r w:rsidRPr="00590FDE">
        <w:rPr>
          <w:b/>
          <w:bCs/>
        </w:rPr>
        <w:t>athletic or high-demand patients</w:t>
      </w:r>
      <w:r w:rsidRPr="00590FDE">
        <w:t>.</w:t>
      </w:r>
    </w:p>
    <w:p w14:paraId="4B5DEBDF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Fixation Methods:</w:t>
      </w:r>
      <w:r w:rsidRPr="00590FDE">
        <w:t> Options include </w:t>
      </w:r>
      <w:r w:rsidRPr="00590FDE">
        <w:rPr>
          <w:b/>
          <w:bCs/>
        </w:rPr>
        <w:t>single-plate fixation</w:t>
      </w:r>
      <w:r w:rsidRPr="00590FDE">
        <w:t> (superior or anteroinferior positioning), </w:t>
      </w:r>
      <w:r w:rsidRPr="00590FDE">
        <w:rPr>
          <w:b/>
          <w:bCs/>
        </w:rPr>
        <w:t>dual-plate fixation</w:t>
      </w:r>
      <w:r w:rsidRPr="00590FDE">
        <w:t> (using smaller, orthogonally placed mini-fragment plates), or </w:t>
      </w:r>
      <w:r w:rsidRPr="00590FDE">
        <w:rPr>
          <w:b/>
          <w:bCs/>
        </w:rPr>
        <w:t>intramedullary (IM) nailing</w:t>
      </w:r>
      <w:r w:rsidRPr="00590FDE">
        <w:t> with titanium elastic nails.</w:t>
      </w:r>
    </w:p>
    <w:p w14:paraId="6D2EAF9D" w14:textId="77777777" w:rsidR="00590FDE" w:rsidRPr="00590FDE" w:rsidRDefault="00590FDE" w:rsidP="00244FE7">
      <w:pPr>
        <w:pStyle w:val="Heading1"/>
      </w:pPr>
      <w:r w:rsidRPr="00590FDE">
        <w:t>Lateral/Distal Clavicle Fractures (Group II)</w:t>
      </w:r>
    </w:p>
    <w:p w14:paraId="3313FF90" w14:textId="77777777" w:rsidR="00590FDE" w:rsidRPr="00590FDE" w:rsidRDefault="00590FDE" w:rsidP="00590FDE">
      <w:r w:rsidRPr="00590FDE">
        <w:t>These involve the lateral third of the bone and represent approximately </w:t>
      </w:r>
      <w:r w:rsidRPr="00590FDE">
        <w:rPr>
          <w:b/>
          <w:bCs/>
        </w:rPr>
        <w:t>10% to 30% of all fractures</w:t>
      </w:r>
      <w:r w:rsidRPr="00590FDE">
        <w:t>. Management is heavily influenced by the </w:t>
      </w:r>
      <w:r w:rsidRPr="00590FDE">
        <w:rPr>
          <w:b/>
          <w:bCs/>
        </w:rPr>
        <w:t>integrity of the coracoclavicular (CC) ligaments</w:t>
      </w:r>
      <w:r w:rsidRPr="00590FDE">
        <w:t>, which dictate fracture stability.</w:t>
      </w:r>
    </w:p>
    <w:p w14:paraId="214015F3" w14:textId="77777777" w:rsidR="00590FDE" w:rsidRPr="00590FDE" w:rsidRDefault="00590FDE" w:rsidP="00590FDE">
      <w:r w:rsidRPr="00590FDE">
        <w:t>• </w:t>
      </w:r>
      <w:r w:rsidRPr="00590FDE">
        <w:rPr>
          <w:b/>
          <w:bCs/>
        </w:rPr>
        <w:t>Classification (Neer Classification):</w:t>
      </w:r>
    </w:p>
    <w:p w14:paraId="3296CE90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Type I:</w:t>
      </w:r>
      <w:r w:rsidRPr="00590FDE">
        <w:t> Stable fractures occurring </w:t>
      </w:r>
      <w:r w:rsidRPr="00590FDE">
        <w:rPr>
          <w:b/>
          <w:bCs/>
        </w:rPr>
        <w:t>lateral</w:t>
      </w:r>
      <w:r w:rsidRPr="00590FDE">
        <w:t> to intact CC ligaments.</w:t>
      </w:r>
    </w:p>
    <w:p w14:paraId="5E7F487F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Type II:</w:t>
      </w:r>
      <w:r w:rsidRPr="00590FDE">
        <w:t> Unstable fractures where the CC ligaments are detached from the medial fragment; subdivided into </w:t>
      </w:r>
      <w:r w:rsidRPr="00590FDE">
        <w:rPr>
          <w:b/>
          <w:bCs/>
        </w:rPr>
        <w:t>IIA</w:t>
      </w:r>
      <w:r w:rsidRPr="00590FDE">
        <w:t> (fracture medial to ligaments) and </w:t>
      </w:r>
      <w:r w:rsidRPr="00590FDE">
        <w:rPr>
          <w:b/>
          <w:bCs/>
        </w:rPr>
        <w:t>IIB</w:t>
      </w:r>
      <w:r w:rsidRPr="00590FDE">
        <w:t> (ligaments ruptured or between fracture lines).</w:t>
      </w:r>
    </w:p>
    <w:p w14:paraId="540D1657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Type III:</w:t>
      </w:r>
      <w:r w:rsidRPr="00590FDE">
        <w:t> Intra-articular fractures involving the </w:t>
      </w:r>
      <w:r w:rsidRPr="00590FDE">
        <w:rPr>
          <w:b/>
          <w:bCs/>
        </w:rPr>
        <w:t>acromioclavicular (AC) joint</w:t>
      </w:r>
      <w:r w:rsidRPr="00590FDE">
        <w:t>.</w:t>
      </w:r>
    </w:p>
    <w:p w14:paraId="151ED828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Type IV:</w:t>
      </w:r>
      <w:r w:rsidRPr="00590FDE">
        <w:t> Physeal fractures in skeletally immature patients.</w:t>
      </w:r>
    </w:p>
    <w:p w14:paraId="5B57341F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Type V:</w:t>
      </w:r>
      <w:r w:rsidRPr="00590FDE">
        <w:t> Comminuted fractures where the CC ligaments are attached to a separate fragment.</w:t>
      </w:r>
    </w:p>
    <w:p w14:paraId="3B776EF1" w14:textId="4ED262C0" w:rsidR="00590FDE" w:rsidRPr="00590FDE" w:rsidRDefault="00590FDE" w:rsidP="00317187">
      <w:pPr>
        <w:pStyle w:val="Heading2"/>
      </w:pPr>
      <w:r w:rsidRPr="00590FDE">
        <w:lastRenderedPageBreak/>
        <w:t>Treatment Options:</w:t>
      </w:r>
    </w:p>
    <w:p w14:paraId="6FE7D9AE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Conservative:</w:t>
      </w:r>
      <w:r w:rsidRPr="00590FDE">
        <w:t> Stable </w:t>
      </w:r>
      <w:r w:rsidRPr="00590FDE">
        <w:rPr>
          <w:b/>
          <w:bCs/>
        </w:rPr>
        <w:t>Type I, III, and IV</w:t>
      </w:r>
      <w:r w:rsidRPr="00590FDE">
        <w:t> fractures are typically managed non-operatively with a sling and gradual range-of-motion exercises.</w:t>
      </w:r>
    </w:p>
    <w:p w14:paraId="2C96E904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Surgical:</w:t>
      </w:r>
      <w:r w:rsidRPr="00590FDE">
        <w:t> Displaced </w:t>
      </w:r>
      <w:r w:rsidRPr="00590FDE">
        <w:rPr>
          <w:b/>
          <w:bCs/>
        </w:rPr>
        <w:t>Type II and V</w:t>
      </w:r>
      <w:r w:rsidRPr="00590FDE">
        <w:t> patterns are often treated operatively due to high rates of non-union (up to 28%–44%) with conservative management.</w:t>
      </w:r>
    </w:p>
    <w:p w14:paraId="3475FB39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Fixation Methods:</w:t>
      </w:r>
      <w:r w:rsidRPr="00590FDE">
        <w:t> Surgical techniques include </w:t>
      </w:r>
      <w:r w:rsidRPr="00590FDE">
        <w:rPr>
          <w:b/>
          <w:bCs/>
        </w:rPr>
        <w:t>locking plates</w:t>
      </w:r>
      <w:r w:rsidRPr="00590FDE">
        <w:t>, </w:t>
      </w:r>
      <w:r w:rsidRPr="00590FDE">
        <w:rPr>
          <w:b/>
          <w:bCs/>
        </w:rPr>
        <w:t>hook plates</w:t>
      </w:r>
      <w:r w:rsidRPr="00590FDE">
        <w:t> (for very small or comminuted fragments), </w:t>
      </w:r>
      <w:r w:rsidRPr="00590FDE">
        <w:rPr>
          <w:b/>
          <w:bCs/>
        </w:rPr>
        <w:t>CC suture fixation</w:t>
      </w:r>
      <w:r w:rsidRPr="00590FDE">
        <w:t> (using anchors or buttons), and </w:t>
      </w:r>
      <w:r w:rsidRPr="00590FDE">
        <w:rPr>
          <w:b/>
          <w:bCs/>
        </w:rPr>
        <w:t>trans-osseous suturing</w:t>
      </w:r>
      <w:r w:rsidRPr="00590FDE">
        <w:t>.</w:t>
      </w:r>
    </w:p>
    <w:p w14:paraId="2D337919" w14:textId="77777777" w:rsidR="00590FDE" w:rsidRPr="00590FDE" w:rsidRDefault="00590FDE" w:rsidP="00244FE7">
      <w:pPr>
        <w:pStyle w:val="Heading1"/>
      </w:pPr>
      <w:r w:rsidRPr="00590FDE">
        <w:t>Medial/Proximal Clavicle Fractures (Group III)</w:t>
      </w:r>
    </w:p>
    <w:p w14:paraId="2AB9812F" w14:textId="77777777" w:rsidR="00590FDE" w:rsidRPr="00590FDE" w:rsidRDefault="00590FDE" w:rsidP="00590FDE">
      <w:r w:rsidRPr="00590FDE">
        <w:t>These are the least common, representing </w:t>
      </w:r>
      <w:r w:rsidRPr="00590FDE">
        <w:rPr>
          <w:b/>
          <w:bCs/>
        </w:rPr>
        <w:t>less than 5% of all clavicle fractures</w:t>
      </w:r>
      <w:r w:rsidRPr="00590FDE">
        <w:t>. In patients under 25, these are often </w:t>
      </w:r>
      <w:r w:rsidRPr="00590FDE">
        <w:rPr>
          <w:b/>
          <w:bCs/>
        </w:rPr>
        <w:t>growth plate injuries</w:t>
      </w:r>
      <w:r w:rsidRPr="00590FDE">
        <w:t> because the medial physis is the last to close.</w:t>
      </w:r>
    </w:p>
    <w:p w14:paraId="299DBE65" w14:textId="77777777" w:rsidR="00590FDE" w:rsidRPr="00590FDE" w:rsidRDefault="00590FDE" w:rsidP="00590FDE">
      <w:r w:rsidRPr="00590FDE">
        <w:t>• </w:t>
      </w:r>
      <w:r w:rsidRPr="00590FDE">
        <w:rPr>
          <w:b/>
          <w:bCs/>
        </w:rPr>
        <w:t>Classification:</w:t>
      </w:r>
      <w:r w:rsidRPr="00590FDE">
        <w:t> These are classified by displacement and whether they are </w:t>
      </w:r>
      <w:r w:rsidRPr="00590FDE">
        <w:rPr>
          <w:b/>
          <w:bCs/>
        </w:rPr>
        <w:t>extra-articular or intra-articular</w:t>
      </w:r>
      <w:r w:rsidRPr="00590FDE">
        <w:t>.</w:t>
      </w:r>
    </w:p>
    <w:p w14:paraId="239DE5C3" w14:textId="78233278" w:rsidR="00590FDE" w:rsidRPr="00590FDE" w:rsidRDefault="00590FDE" w:rsidP="00317187">
      <w:pPr>
        <w:pStyle w:val="Heading2"/>
      </w:pPr>
      <w:r w:rsidRPr="00590FDE">
        <w:t>Treatment Options:</w:t>
      </w:r>
    </w:p>
    <w:p w14:paraId="7B841EBC" w14:textId="0601703C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Conservative:</w:t>
      </w:r>
      <w:r w:rsidRPr="00590FDE">
        <w:t xml:space="preserve"> Most medial fractures, including anterior dislocations, are treated non-operatively with a sling and rest, as </w:t>
      </w:r>
      <w:r w:rsidR="00317187" w:rsidRPr="00590FDE">
        <w:t>remodelling</w:t>
      </w:r>
      <w:r w:rsidRPr="00590FDE">
        <w:t xml:space="preserve"> potential is high in younger athletes.</w:t>
      </w:r>
    </w:p>
    <w:p w14:paraId="169C1BA5" w14:textId="77777777" w:rsidR="00590FDE" w:rsidRPr="00590FDE" w:rsidRDefault="00590FDE" w:rsidP="00590FDE">
      <w:r w:rsidRPr="00590FDE">
        <w:t>    ◦ </w:t>
      </w:r>
      <w:r w:rsidRPr="00590FDE">
        <w:rPr>
          <w:b/>
          <w:bCs/>
        </w:rPr>
        <w:t>Surgical:</w:t>
      </w:r>
      <w:r w:rsidRPr="00590FDE">
        <w:t> Surgery is reserved for rare cases involving </w:t>
      </w:r>
      <w:r w:rsidRPr="00590FDE">
        <w:rPr>
          <w:b/>
          <w:bCs/>
        </w:rPr>
        <w:t>posterior displacement</w:t>
      </w:r>
      <w:r w:rsidRPr="00590FDE">
        <w:t> that risks damage to vital mediastinal structures (vascular injury or impingement) or severe displacement causing symptomatic instability</w:t>
      </w:r>
    </w:p>
    <w:p w14:paraId="65EC37F6" w14:textId="77777777" w:rsidR="0031128C" w:rsidRPr="0031128C" w:rsidRDefault="0031128C" w:rsidP="00244FE7">
      <w:pPr>
        <w:pStyle w:val="Heading1"/>
      </w:pPr>
      <w:r w:rsidRPr="0031128C">
        <w:t>Summary of Clavicle Fracture Types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2155"/>
        <w:gridCol w:w="2476"/>
        <w:gridCol w:w="2206"/>
      </w:tblGrid>
      <w:tr w:rsidR="0031128C" w:rsidRPr="0031128C" w14:paraId="360D3426" w14:textId="77777777" w:rsidTr="0031128C">
        <w:tc>
          <w:tcPr>
            <w:tcW w:w="0" w:type="auto"/>
            <w:hideMark/>
          </w:tcPr>
          <w:p w14:paraId="322BC2B1" w14:textId="77777777" w:rsidR="0031128C" w:rsidRPr="0031128C" w:rsidRDefault="0031128C" w:rsidP="0031128C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Fracture Type</w:t>
            </w:r>
          </w:p>
        </w:tc>
        <w:tc>
          <w:tcPr>
            <w:tcW w:w="0" w:type="auto"/>
            <w:hideMark/>
          </w:tcPr>
          <w:p w14:paraId="53D8D079" w14:textId="77777777" w:rsidR="0031128C" w:rsidRPr="0031128C" w:rsidRDefault="0031128C" w:rsidP="0031128C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Epidemiology</w:t>
            </w:r>
          </w:p>
        </w:tc>
        <w:tc>
          <w:tcPr>
            <w:tcW w:w="0" w:type="auto"/>
            <w:hideMark/>
          </w:tcPr>
          <w:p w14:paraId="3FC2996F" w14:textId="77777777" w:rsidR="0031128C" w:rsidRPr="0031128C" w:rsidRDefault="0031128C" w:rsidP="0031128C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Management Options</w:t>
            </w:r>
          </w:p>
        </w:tc>
        <w:tc>
          <w:tcPr>
            <w:tcW w:w="0" w:type="auto"/>
            <w:hideMark/>
          </w:tcPr>
          <w:p w14:paraId="27850B3F" w14:textId="77777777" w:rsidR="0031128C" w:rsidRPr="0031128C" w:rsidRDefault="0031128C" w:rsidP="0031128C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Pros and Cons</w:t>
            </w:r>
          </w:p>
        </w:tc>
      </w:tr>
      <w:tr w:rsidR="0031128C" w:rsidRPr="0031128C" w14:paraId="0D2E8926" w14:textId="77777777" w:rsidTr="0031128C">
        <w:tc>
          <w:tcPr>
            <w:tcW w:w="0" w:type="auto"/>
            <w:hideMark/>
          </w:tcPr>
          <w:p w14:paraId="33965B7D" w14:textId="77777777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Midshaft</w:t>
            </w:r>
            <w:r w:rsidRPr="0031128C">
              <w:rPr>
                <w:sz w:val="18"/>
                <w:szCs w:val="18"/>
              </w:rPr>
              <w:t> (Group I/Type 2)</w:t>
            </w:r>
          </w:p>
        </w:tc>
        <w:tc>
          <w:tcPr>
            <w:tcW w:w="0" w:type="auto"/>
            <w:hideMark/>
          </w:tcPr>
          <w:p w14:paraId="2A40A167" w14:textId="77777777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Most common pattern</w:t>
            </w:r>
            <w:r w:rsidRPr="0031128C">
              <w:rPr>
                <w:sz w:val="18"/>
                <w:szCs w:val="18"/>
              </w:rPr>
              <w:t>, accounting for </w:t>
            </w:r>
            <w:r w:rsidRPr="0031128C">
              <w:rPr>
                <w:b/>
                <w:bCs/>
                <w:sz w:val="18"/>
                <w:szCs w:val="18"/>
              </w:rPr>
              <w:t>69%–82%</w:t>
            </w:r>
            <w:r w:rsidRPr="0031128C">
              <w:rPr>
                <w:sz w:val="18"/>
                <w:szCs w:val="18"/>
              </w:rPr>
              <w:t> of all clavicle fractures. Frequently occurs in </w:t>
            </w:r>
            <w:r w:rsidRPr="0031128C">
              <w:rPr>
                <w:b/>
                <w:bCs/>
                <w:sz w:val="18"/>
                <w:szCs w:val="18"/>
              </w:rPr>
              <w:t>adolescent males (aged 10–19)</w:t>
            </w:r>
            <w:r w:rsidRPr="0031128C">
              <w:rPr>
                <w:sz w:val="18"/>
                <w:szCs w:val="18"/>
              </w:rPr>
              <w:t> and contact sport athletes.</w:t>
            </w:r>
          </w:p>
        </w:tc>
        <w:tc>
          <w:tcPr>
            <w:tcW w:w="0" w:type="auto"/>
            <w:hideMark/>
          </w:tcPr>
          <w:p w14:paraId="13711ABC" w14:textId="77777777" w:rsidR="00DB4E3F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Non-operative:</w:t>
            </w:r>
            <w:r w:rsidRPr="0031128C">
              <w:rPr>
                <w:sz w:val="18"/>
                <w:szCs w:val="18"/>
              </w:rPr>
              <w:t xml:space="preserve"> Sling immobilisation for 2–6 weeks (standard for </w:t>
            </w:r>
            <w:proofErr w:type="spellStart"/>
            <w:r w:rsidRPr="0031128C">
              <w:rPr>
                <w:sz w:val="18"/>
                <w:szCs w:val="18"/>
              </w:rPr>
              <w:t>undisplaced</w:t>
            </w:r>
            <w:proofErr w:type="spellEnd"/>
            <w:r w:rsidRPr="0031128C">
              <w:rPr>
                <w:sz w:val="18"/>
                <w:szCs w:val="18"/>
              </w:rPr>
              <w:t>/minimally displaced). </w:t>
            </w:r>
          </w:p>
          <w:p w14:paraId="0C7CC1D7" w14:textId="5E523967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Surgical:</w:t>
            </w:r>
            <w:r w:rsidRPr="0031128C">
              <w:rPr>
                <w:sz w:val="18"/>
                <w:szCs w:val="18"/>
              </w:rPr>
              <w:t> Plate fixation (superior, anterior, or dual) or Intramedullary (IM) nailing for displaced or comminuted fractures.</w:t>
            </w:r>
          </w:p>
        </w:tc>
        <w:tc>
          <w:tcPr>
            <w:tcW w:w="0" w:type="auto"/>
            <w:hideMark/>
          </w:tcPr>
          <w:p w14:paraId="523261FF" w14:textId="77777777" w:rsidR="00DB4E3F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Pros (Surgical):</w:t>
            </w:r>
            <w:r w:rsidRPr="0031128C">
              <w:rPr>
                <w:sz w:val="18"/>
                <w:szCs w:val="18"/>
              </w:rPr>
              <w:t> Lower non-union rates, </w:t>
            </w:r>
            <w:r w:rsidRPr="0031128C">
              <w:rPr>
                <w:b/>
                <w:bCs/>
                <w:sz w:val="18"/>
                <w:szCs w:val="18"/>
              </w:rPr>
              <w:t>faster return to sport (RTS)</w:t>
            </w:r>
            <w:r w:rsidRPr="0031128C">
              <w:rPr>
                <w:sz w:val="18"/>
                <w:szCs w:val="18"/>
              </w:rPr>
              <w:t>, and improved shoulder function in athletes. </w:t>
            </w:r>
          </w:p>
          <w:p w14:paraId="29250B48" w14:textId="5FFB993B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Cons (Surgical):</w:t>
            </w:r>
            <w:r w:rsidRPr="0031128C">
              <w:rPr>
                <w:sz w:val="18"/>
                <w:szCs w:val="18"/>
              </w:rPr>
              <w:t> Risk of infection, neurovascular injury, and </w:t>
            </w:r>
            <w:r w:rsidRPr="0031128C">
              <w:rPr>
                <w:b/>
                <w:bCs/>
                <w:sz w:val="18"/>
                <w:szCs w:val="18"/>
              </w:rPr>
              <w:t>symptomatic hardware</w:t>
            </w:r>
            <w:r w:rsidRPr="0031128C">
              <w:rPr>
                <w:sz w:val="18"/>
                <w:szCs w:val="18"/>
              </w:rPr>
              <w:t> (up to 67% removal rate).</w:t>
            </w:r>
          </w:p>
        </w:tc>
      </w:tr>
      <w:tr w:rsidR="0031128C" w:rsidRPr="0031128C" w14:paraId="47BDF45B" w14:textId="77777777" w:rsidTr="0031128C">
        <w:tc>
          <w:tcPr>
            <w:tcW w:w="0" w:type="auto"/>
            <w:hideMark/>
          </w:tcPr>
          <w:p w14:paraId="4D502EED" w14:textId="77777777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Lateral/Distal</w:t>
            </w:r>
            <w:r w:rsidRPr="0031128C">
              <w:rPr>
                <w:sz w:val="18"/>
                <w:szCs w:val="18"/>
              </w:rPr>
              <w:t> (Group II/Type 3)</w:t>
            </w:r>
          </w:p>
        </w:tc>
        <w:tc>
          <w:tcPr>
            <w:tcW w:w="0" w:type="auto"/>
            <w:hideMark/>
          </w:tcPr>
          <w:p w14:paraId="182515D0" w14:textId="77777777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sz w:val="18"/>
                <w:szCs w:val="18"/>
              </w:rPr>
              <w:t>Represents </w:t>
            </w:r>
            <w:r w:rsidRPr="0031128C">
              <w:rPr>
                <w:b/>
                <w:bCs/>
                <w:sz w:val="18"/>
                <w:szCs w:val="18"/>
              </w:rPr>
              <w:t>10%–30%</w:t>
            </w:r>
            <w:r w:rsidRPr="0031128C">
              <w:rPr>
                <w:sz w:val="18"/>
                <w:szCs w:val="18"/>
              </w:rPr>
              <w:t> of clavicle fractures. Often caused by a direct blow to the lateral shoulder.</w:t>
            </w:r>
          </w:p>
        </w:tc>
        <w:tc>
          <w:tcPr>
            <w:tcW w:w="0" w:type="auto"/>
            <w:hideMark/>
          </w:tcPr>
          <w:p w14:paraId="0BB2D005" w14:textId="77777777" w:rsidR="00DB4E3F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Non-operative:</w:t>
            </w:r>
            <w:r w:rsidRPr="0031128C">
              <w:rPr>
                <w:sz w:val="18"/>
                <w:szCs w:val="18"/>
              </w:rPr>
              <w:t> Sling for stable patterns (Neer Types I, III, IV). </w:t>
            </w:r>
          </w:p>
          <w:p w14:paraId="61C28CA0" w14:textId="33061726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Surgical:</w:t>
            </w:r>
            <w:r w:rsidRPr="0031128C">
              <w:rPr>
                <w:sz w:val="18"/>
                <w:szCs w:val="18"/>
              </w:rPr>
              <w:t> Locking plates, </w:t>
            </w:r>
            <w:r w:rsidRPr="0031128C">
              <w:rPr>
                <w:b/>
                <w:bCs/>
                <w:sz w:val="18"/>
                <w:szCs w:val="18"/>
              </w:rPr>
              <w:t>hook plates</w:t>
            </w:r>
            <w:r w:rsidRPr="0031128C">
              <w:rPr>
                <w:sz w:val="18"/>
                <w:szCs w:val="18"/>
              </w:rPr>
              <w:t>, or coracoclavicular (CC) ligament reconstruction for unstable/displaced patterns (Types II, V).</w:t>
            </w:r>
          </w:p>
        </w:tc>
        <w:tc>
          <w:tcPr>
            <w:tcW w:w="0" w:type="auto"/>
            <w:hideMark/>
          </w:tcPr>
          <w:p w14:paraId="6E7E3292" w14:textId="77777777" w:rsidR="00DB4E3F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Pros:</w:t>
            </w:r>
            <w:r w:rsidRPr="0031128C">
              <w:rPr>
                <w:sz w:val="18"/>
                <w:szCs w:val="18"/>
              </w:rPr>
              <w:t> Surgery addresses high non-union rates (</w:t>
            </w:r>
            <w:r w:rsidRPr="0031128C">
              <w:rPr>
                <w:b/>
                <w:bCs/>
                <w:sz w:val="18"/>
                <w:szCs w:val="18"/>
              </w:rPr>
              <w:t>28%–44%</w:t>
            </w:r>
            <w:r w:rsidRPr="0031128C">
              <w:rPr>
                <w:sz w:val="18"/>
                <w:szCs w:val="18"/>
              </w:rPr>
              <w:t>) associated with conservative management of unstable patterns. </w:t>
            </w:r>
          </w:p>
          <w:p w14:paraId="7F99BB93" w14:textId="2EA0EBAE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Cons:</w:t>
            </w:r>
            <w:r w:rsidRPr="0031128C">
              <w:rPr>
                <w:sz w:val="18"/>
                <w:szCs w:val="18"/>
              </w:rPr>
              <w:t> Hook plates can cause </w:t>
            </w:r>
            <w:r w:rsidRPr="0031128C">
              <w:rPr>
                <w:b/>
                <w:bCs/>
                <w:sz w:val="18"/>
                <w:szCs w:val="18"/>
              </w:rPr>
              <w:t>acromial erosion</w:t>
            </w:r>
            <w:r w:rsidRPr="0031128C">
              <w:rPr>
                <w:sz w:val="18"/>
                <w:szCs w:val="18"/>
              </w:rPr>
              <w:t xml:space="preserve"> or rotator cuff </w:t>
            </w:r>
            <w:r w:rsidRPr="0031128C">
              <w:rPr>
                <w:sz w:val="18"/>
                <w:szCs w:val="18"/>
              </w:rPr>
              <w:lastRenderedPageBreak/>
              <w:t>impingement; highest rate of secondary intervention.</w:t>
            </w:r>
          </w:p>
        </w:tc>
      </w:tr>
      <w:tr w:rsidR="0031128C" w:rsidRPr="0031128C" w14:paraId="4C522224" w14:textId="77777777" w:rsidTr="0031128C">
        <w:tc>
          <w:tcPr>
            <w:tcW w:w="0" w:type="auto"/>
            <w:hideMark/>
          </w:tcPr>
          <w:p w14:paraId="5D542DEF" w14:textId="77777777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lastRenderedPageBreak/>
              <w:t>Medial/Proximal</w:t>
            </w:r>
            <w:r w:rsidRPr="0031128C">
              <w:rPr>
                <w:sz w:val="18"/>
                <w:szCs w:val="18"/>
              </w:rPr>
              <w:t> (Group III/Type 1)</w:t>
            </w:r>
          </w:p>
        </w:tc>
        <w:tc>
          <w:tcPr>
            <w:tcW w:w="0" w:type="auto"/>
            <w:hideMark/>
          </w:tcPr>
          <w:p w14:paraId="017312BA" w14:textId="77777777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Least common</w:t>
            </w:r>
            <w:r w:rsidRPr="0031128C">
              <w:rPr>
                <w:sz w:val="18"/>
                <w:szCs w:val="18"/>
              </w:rPr>
              <w:t>, accounting for </w:t>
            </w:r>
            <w:r w:rsidRPr="0031128C">
              <w:rPr>
                <w:b/>
                <w:bCs/>
                <w:sz w:val="18"/>
                <w:szCs w:val="18"/>
              </w:rPr>
              <w:t>less than 5%</w:t>
            </w:r>
            <w:r w:rsidRPr="0031128C">
              <w:rPr>
                <w:sz w:val="18"/>
                <w:szCs w:val="18"/>
              </w:rPr>
              <w:t> of fractures. Often involve growth plate injuries in patients under 25.</w:t>
            </w:r>
          </w:p>
        </w:tc>
        <w:tc>
          <w:tcPr>
            <w:tcW w:w="0" w:type="auto"/>
            <w:hideMark/>
          </w:tcPr>
          <w:p w14:paraId="46D50796" w14:textId="77777777" w:rsidR="00DB4E3F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Non-operative:</w:t>
            </w:r>
            <w:r w:rsidRPr="0031128C">
              <w:rPr>
                <w:sz w:val="18"/>
                <w:szCs w:val="18"/>
              </w:rPr>
              <w:t> Standard treatment for most, including anterior dislocations, due to high remodelling potential. </w:t>
            </w:r>
          </w:p>
          <w:p w14:paraId="36A22870" w14:textId="509D8A72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Surgical:</w:t>
            </w:r>
            <w:r w:rsidRPr="0031128C">
              <w:rPr>
                <w:sz w:val="18"/>
                <w:szCs w:val="18"/>
              </w:rPr>
              <w:t> Reserved for rare </w:t>
            </w:r>
            <w:r w:rsidRPr="0031128C">
              <w:rPr>
                <w:b/>
                <w:bCs/>
                <w:sz w:val="18"/>
                <w:szCs w:val="18"/>
              </w:rPr>
              <w:t>posterior displacement</w:t>
            </w:r>
            <w:r w:rsidRPr="0031128C">
              <w:rPr>
                <w:sz w:val="18"/>
                <w:szCs w:val="18"/>
              </w:rPr>
              <w:t> risking vital mediastinal structures (e.g., vascular injury).</w:t>
            </w:r>
          </w:p>
        </w:tc>
        <w:tc>
          <w:tcPr>
            <w:tcW w:w="0" w:type="auto"/>
            <w:hideMark/>
          </w:tcPr>
          <w:p w14:paraId="48EFEFB6" w14:textId="77777777" w:rsidR="00DB4E3F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Pros:</w:t>
            </w:r>
            <w:r w:rsidRPr="0031128C">
              <w:rPr>
                <w:sz w:val="18"/>
                <w:szCs w:val="18"/>
              </w:rPr>
              <w:t> Conservative management is typically successful with </w:t>
            </w:r>
            <w:r w:rsidRPr="0031128C">
              <w:rPr>
                <w:b/>
                <w:bCs/>
                <w:sz w:val="18"/>
                <w:szCs w:val="18"/>
              </w:rPr>
              <w:t>100% RTP rates</w:t>
            </w:r>
            <w:r w:rsidRPr="0031128C">
              <w:rPr>
                <w:sz w:val="18"/>
                <w:szCs w:val="18"/>
              </w:rPr>
              <w:t>. </w:t>
            </w:r>
          </w:p>
          <w:p w14:paraId="05F61361" w14:textId="53DFBA03" w:rsidR="0031128C" w:rsidRPr="0031128C" w:rsidRDefault="0031128C" w:rsidP="0031128C">
            <w:pPr>
              <w:spacing w:after="160" w:line="259" w:lineRule="auto"/>
              <w:rPr>
                <w:sz w:val="18"/>
                <w:szCs w:val="18"/>
              </w:rPr>
            </w:pPr>
            <w:r w:rsidRPr="0031128C">
              <w:rPr>
                <w:b/>
                <w:bCs/>
                <w:sz w:val="18"/>
                <w:szCs w:val="18"/>
              </w:rPr>
              <w:t>Cons:</w:t>
            </w:r>
            <w:r w:rsidRPr="0031128C">
              <w:rPr>
                <w:sz w:val="18"/>
                <w:szCs w:val="18"/>
              </w:rPr>
              <w:t> Posterior injuries are potentially </w:t>
            </w:r>
            <w:r w:rsidRPr="0031128C">
              <w:rPr>
                <w:b/>
                <w:bCs/>
                <w:sz w:val="18"/>
                <w:szCs w:val="18"/>
              </w:rPr>
              <w:t>life-threatening</w:t>
            </w:r>
            <w:r w:rsidRPr="0031128C">
              <w:rPr>
                <w:sz w:val="18"/>
                <w:szCs w:val="18"/>
              </w:rPr>
              <w:t> if missed; surgery is technically demanding due to proximity to the heart and lungs.</w:t>
            </w:r>
          </w:p>
        </w:tc>
      </w:tr>
    </w:tbl>
    <w:p w14:paraId="05F497DF" w14:textId="77777777" w:rsidR="0031128C" w:rsidRPr="0031128C" w:rsidRDefault="0031128C" w:rsidP="00DB4E3F">
      <w:pPr>
        <w:pStyle w:val="Heading2"/>
      </w:pPr>
      <w:r w:rsidRPr="0031128C">
        <w:t>General Epidemiological and Clinical Insights</w:t>
      </w:r>
    </w:p>
    <w:p w14:paraId="137302DB" w14:textId="77777777" w:rsidR="0031128C" w:rsidRPr="0031128C" w:rsidRDefault="0031128C" w:rsidP="0031128C">
      <w:r w:rsidRPr="0031128C">
        <w:t>• </w:t>
      </w:r>
      <w:r w:rsidRPr="0031128C">
        <w:rPr>
          <w:b/>
          <w:bCs/>
        </w:rPr>
        <w:t>High-Risk Groups:</w:t>
      </w:r>
      <w:r w:rsidRPr="0031128C">
        <w:t> Clavicle fractures comprise roughly </w:t>
      </w:r>
      <w:r w:rsidRPr="0031128C">
        <w:rPr>
          <w:b/>
          <w:bCs/>
        </w:rPr>
        <w:t>10% of all sports-related fractures</w:t>
      </w:r>
      <w:r w:rsidRPr="0031128C">
        <w:t>. Male athletes are disproportionately affected, often at a rate </w:t>
      </w:r>
      <w:r w:rsidRPr="0031128C">
        <w:rPr>
          <w:b/>
          <w:bCs/>
        </w:rPr>
        <w:t>3 to 5 times higher</w:t>
      </w:r>
      <w:r w:rsidRPr="0031128C">
        <w:t> than females.</w:t>
      </w:r>
    </w:p>
    <w:p w14:paraId="3E4151EB" w14:textId="77777777" w:rsidR="0031128C" w:rsidRPr="0031128C" w:rsidRDefault="0031128C" w:rsidP="0031128C">
      <w:r w:rsidRPr="0031128C">
        <w:t>• </w:t>
      </w:r>
      <w:r w:rsidRPr="0031128C">
        <w:rPr>
          <w:b/>
          <w:bCs/>
        </w:rPr>
        <w:t>Sport-Specific Risk:</w:t>
      </w:r>
      <w:r w:rsidRPr="0031128C">
        <w:t> The highest incidence occurs in </w:t>
      </w:r>
      <w:r w:rsidRPr="0031128C">
        <w:rPr>
          <w:b/>
          <w:bCs/>
        </w:rPr>
        <w:t>football, soccer, cycling, snowboarding, and ice hockey</w:t>
      </w:r>
      <w:r w:rsidRPr="0031128C">
        <w:t>.</w:t>
      </w:r>
    </w:p>
    <w:p w14:paraId="6AF06D59" w14:textId="77777777" w:rsidR="0031128C" w:rsidRPr="0031128C" w:rsidRDefault="0031128C" w:rsidP="0031128C">
      <w:r w:rsidRPr="0031128C">
        <w:t>• </w:t>
      </w:r>
      <w:r w:rsidRPr="0031128C">
        <w:rPr>
          <w:b/>
          <w:bCs/>
        </w:rPr>
        <w:t>Return to Play (RTP):</w:t>
      </w:r>
      <w:r w:rsidRPr="0031128C">
        <w:t> The overall RTP rate for athletes is high at </w:t>
      </w:r>
      <w:r w:rsidRPr="0031128C">
        <w:rPr>
          <w:b/>
          <w:bCs/>
        </w:rPr>
        <w:t>91%–92%</w:t>
      </w:r>
      <w:r w:rsidRPr="0031128C">
        <w:t>. For displaced midshaft fractures, surgical intervention reduces the time missed by approximately </w:t>
      </w:r>
      <w:r w:rsidRPr="0031128C">
        <w:rPr>
          <w:b/>
          <w:bCs/>
        </w:rPr>
        <w:t>12 weeks</w:t>
      </w:r>
      <w:r w:rsidRPr="0031128C">
        <w:t> compared to conservative treatment (9.4 weeks vs 21.5 weeks).</w:t>
      </w:r>
    </w:p>
    <w:p w14:paraId="249FEC64" w14:textId="77777777" w:rsidR="0031128C" w:rsidRPr="0031128C" w:rsidRDefault="0031128C" w:rsidP="0031128C">
      <w:r w:rsidRPr="0031128C">
        <w:t>• </w:t>
      </w:r>
      <w:r w:rsidRPr="0031128C">
        <w:rPr>
          <w:b/>
          <w:bCs/>
        </w:rPr>
        <w:t>Surgical Trends:</w:t>
      </w:r>
      <w:r w:rsidRPr="0031128C">
        <w:t> There has been a reported </w:t>
      </w:r>
      <w:r w:rsidRPr="0031128C">
        <w:rPr>
          <w:b/>
          <w:bCs/>
        </w:rPr>
        <w:t>300% to 700% increase</w:t>
      </w:r>
      <w:r w:rsidRPr="0031128C">
        <w:t> in the rate of operative fixation over the last two decades, driven by improved functional outcomes in active populations</w:t>
      </w:r>
    </w:p>
    <w:p w14:paraId="6FCBB067" w14:textId="77777777" w:rsidR="00D80402" w:rsidRPr="00D80402" w:rsidRDefault="00D80402" w:rsidP="00D80402"/>
    <w:sectPr w:rsidR="00D80402" w:rsidRPr="00D80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FD"/>
    <w:rsid w:val="000D1EFD"/>
    <w:rsid w:val="00244FE7"/>
    <w:rsid w:val="0031128C"/>
    <w:rsid w:val="00317187"/>
    <w:rsid w:val="00373821"/>
    <w:rsid w:val="00461D43"/>
    <w:rsid w:val="00590FDE"/>
    <w:rsid w:val="00626871"/>
    <w:rsid w:val="006C097A"/>
    <w:rsid w:val="00706006"/>
    <w:rsid w:val="00877577"/>
    <w:rsid w:val="00B652C1"/>
    <w:rsid w:val="00D80402"/>
    <w:rsid w:val="00DB4E3F"/>
    <w:rsid w:val="00E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AC15"/>
  <w15:chartTrackingRefBased/>
  <w15:docId w15:val="{9931DBAD-9887-4F20-9060-E2AAA30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1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70288e-4af8-48c9-873e-3ad9b170eb26}" enabled="0" method="" siteId="{0870288e-4af8-48c9-873e-3ad9b170eb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852</Words>
  <Characters>5490</Characters>
  <Application>Microsoft Office Word</Application>
  <DocSecurity>0</DocSecurity>
  <Lines>87</Lines>
  <Paragraphs>40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Whiteley</dc:creator>
  <cp:keywords/>
  <dc:description/>
  <cp:lastModifiedBy>Rodney Whiteley</cp:lastModifiedBy>
  <cp:revision>7</cp:revision>
  <dcterms:created xsi:type="dcterms:W3CDTF">2026-01-20T05:27:00Z</dcterms:created>
  <dcterms:modified xsi:type="dcterms:W3CDTF">2026-01-20T07:20:00Z</dcterms:modified>
</cp:coreProperties>
</file>