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D033" w14:textId="0A469B42" w:rsidR="00706006" w:rsidRDefault="00A70BC8" w:rsidP="00A70BC8">
      <w:pPr>
        <w:pStyle w:val="Title"/>
      </w:pPr>
      <w:r w:rsidRPr="00A70BC8">
        <w:t>Clinical Management of High Ankle Syndesmosis Injuries</w:t>
      </w:r>
    </w:p>
    <w:p w14:paraId="10E41D72" w14:textId="77777777" w:rsidR="00A70BC8" w:rsidRPr="00A70BC8" w:rsidRDefault="00A70BC8" w:rsidP="00A70BC8">
      <w:r w:rsidRPr="00A70BC8">
        <w:t>Injuries to the ankle syndesmosis, frequently termed </w:t>
      </w:r>
      <w:r w:rsidRPr="00A70BC8">
        <w:rPr>
          <w:b/>
          <w:bCs/>
        </w:rPr>
        <w:t>"high ankle sprains"</w:t>
      </w:r>
      <w:r w:rsidRPr="00A70BC8">
        <w:t>, are complex injuries involving the ligaments that maintain the relationship between the distal tibia and fibula.</w:t>
      </w:r>
    </w:p>
    <w:p w14:paraId="1A4A5B8F" w14:textId="77777777" w:rsidR="00A70BC8" w:rsidRPr="00A70BC8" w:rsidRDefault="00A70BC8" w:rsidP="00A70BC8">
      <w:pPr>
        <w:pStyle w:val="Heading1"/>
      </w:pPr>
      <w:r w:rsidRPr="00A70BC8">
        <w:t>Epidemiology</w:t>
      </w:r>
    </w:p>
    <w:p w14:paraId="31A738D1" w14:textId="77777777" w:rsidR="00A70BC8" w:rsidRPr="00A70BC8" w:rsidRDefault="00A70BC8" w:rsidP="00A70BC8">
      <w:r w:rsidRPr="00A70BC8">
        <w:t>Syndesmotic injuries are increasingly common, representing between </w:t>
      </w:r>
      <w:r w:rsidRPr="00A70BC8">
        <w:rPr>
          <w:b/>
          <w:bCs/>
        </w:rPr>
        <w:t>1% and 20% of all acute ankle injuries</w:t>
      </w:r>
      <w:r w:rsidRPr="00A70BC8">
        <w:t>. In athletic populations, this prevalence can be higher, accounting for up to </w:t>
      </w:r>
      <w:r w:rsidRPr="00A70BC8">
        <w:rPr>
          <w:b/>
          <w:bCs/>
        </w:rPr>
        <w:t>25% of all ankle sprains</w:t>
      </w:r>
      <w:r w:rsidRPr="00A70BC8">
        <w:t>.</w:t>
      </w:r>
    </w:p>
    <w:p w14:paraId="6067E0EE" w14:textId="344A2C99" w:rsidR="00A70BC8" w:rsidRDefault="00A70BC8" w:rsidP="00A70BC8">
      <w:pPr>
        <w:pStyle w:val="Heading2"/>
      </w:pPr>
      <w:r w:rsidRPr="00A70BC8">
        <w:t>High-Risk Sports: </w:t>
      </w:r>
    </w:p>
    <w:p w14:paraId="773B88C8" w14:textId="57B546BF" w:rsidR="00A70BC8" w:rsidRPr="00A70BC8" w:rsidRDefault="00A70BC8" w:rsidP="00A70BC8">
      <w:r w:rsidRPr="00A70BC8">
        <w:t>These injuries are most prevalent in </w:t>
      </w:r>
      <w:r w:rsidRPr="00A70BC8">
        <w:rPr>
          <w:b/>
          <w:bCs/>
        </w:rPr>
        <w:t>impact and collision sports</w:t>
      </w:r>
      <w:r w:rsidRPr="00A70BC8">
        <w:t>, including soccer, rugby, American football, ice hockey, wrestling, skiing, and basketball.</w:t>
      </w:r>
    </w:p>
    <w:p w14:paraId="252AB8E3" w14:textId="6B53FB1B" w:rsidR="00A70BC8" w:rsidRDefault="00A70BC8" w:rsidP="00A70BC8">
      <w:pPr>
        <w:pStyle w:val="Heading2"/>
      </w:pPr>
      <w:r w:rsidRPr="00A70BC8">
        <w:t>Injury Burden: </w:t>
      </w:r>
    </w:p>
    <w:p w14:paraId="41FB5F36" w14:textId="18AC4DA0" w:rsidR="00A70BC8" w:rsidRPr="00A70BC8" w:rsidRDefault="00A70BC8" w:rsidP="00A70BC8">
      <w:r w:rsidRPr="00A70BC8">
        <w:t>Compared to lateral ankle ligament injuries, syndesmotic tears result in </w:t>
      </w:r>
      <w:r w:rsidRPr="00A70BC8">
        <w:rPr>
          <w:b/>
          <w:bCs/>
        </w:rPr>
        <w:t>substantially longer time loss from sport</w:t>
      </w:r>
      <w:r w:rsidRPr="00A70BC8">
        <w:t>, a higher likelihood of requiring surgical stabilisation, and more long-term functional sequelae. For example, NFL players lose an average of 11.7 practices for a high ankle sprain compared to 3.5 for a lateral sprain.</w:t>
      </w:r>
    </w:p>
    <w:p w14:paraId="02BE6E69" w14:textId="7BB64D11" w:rsidR="00A70BC8" w:rsidRDefault="00A70BC8" w:rsidP="00A70BC8">
      <w:pPr>
        <w:pStyle w:val="Heading2"/>
      </w:pPr>
      <w:r w:rsidRPr="00A70BC8">
        <w:t>Demographics: </w:t>
      </w:r>
    </w:p>
    <w:p w14:paraId="63806C83" w14:textId="0FD53E29" w:rsidR="00A70BC8" w:rsidRPr="00A70BC8" w:rsidRDefault="00A70BC8" w:rsidP="00A70BC8">
      <w:r w:rsidRPr="00A70BC8">
        <w:t>Injuries are most frequent in the </w:t>
      </w:r>
      <w:r w:rsidRPr="00A70BC8">
        <w:rPr>
          <w:b/>
          <w:bCs/>
        </w:rPr>
        <w:t>second to third decades of life</w:t>
      </w:r>
      <w:r w:rsidRPr="00A70BC8">
        <w:t>, particularly among those aged 18 to 34. While evidence regarding gender is conflicting, some studies suggest a higher incidence in males. Higher BMI has also been identified as a potential risk factor.</w:t>
      </w:r>
    </w:p>
    <w:p w14:paraId="50CFCBE2" w14:textId="77777777" w:rsidR="00A70BC8" w:rsidRPr="00A70BC8" w:rsidRDefault="00A70BC8" w:rsidP="00A70BC8">
      <w:pPr>
        <w:pStyle w:val="Heading1"/>
      </w:pPr>
      <w:r w:rsidRPr="00A70BC8">
        <w:t>Typical Presentation</w:t>
      </w:r>
    </w:p>
    <w:p w14:paraId="4ECD8554" w14:textId="77777777" w:rsidR="00A70BC8" w:rsidRPr="00A70BC8" w:rsidRDefault="00A70BC8" w:rsidP="00A70BC8">
      <w:r w:rsidRPr="00A70BC8">
        <w:t>The diagnosis of syndesmosis injury can be difficult, as presentation is often nonspecific and may be missed in the absence of a fracture.</w:t>
      </w:r>
    </w:p>
    <w:p w14:paraId="4E56728D" w14:textId="65849388" w:rsidR="00A70BC8" w:rsidRDefault="00A70BC8" w:rsidP="00A70BC8">
      <w:pPr>
        <w:pStyle w:val="Heading2"/>
      </w:pPr>
      <w:r w:rsidRPr="00A70BC8">
        <w:t>Mechanism of Injury: </w:t>
      </w:r>
    </w:p>
    <w:p w14:paraId="3D80B464" w14:textId="6E76603A" w:rsidR="00A70BC8" w:rsidRPr="00A70BC8" w:rsidRDefault="00A70BC8" w:rsidP="00A70BC8">
      <w:r w:rsidRPr="00A70BC8">
        <w:t>The most common cause is </w:t>
      </w:r>
      <w:r w:rsidRPr="00A70BC8">
        <w:rPr>
          <w:b/>
          <w:bCs/>
        </w:rPr>
        <w:t>supraphysiologic external rotation of the foot</w:t>
      </w:r>
      <w:r w:rsidRPr="00A70BC8">
        <w:t> while it is planted and in a </w:t>
      </w:r>
      <w:r w:rsidRPr="00A70BC8">
        <w:rPr>
          <w:b/>
          <w:bCs/>
        </w:rPr>
        <w:t>dorsiflexed position</w:t>
      </w:r>
      <w:r w:rsidRPr="00A70BC8">
        <w:t>. Less common mechanisms include abduction or eversion.</w:t>
      </w:r>
    </w:p>
    <w:p w14:paraId="7EACD542" w14:textId="51399294" w:rsidR="00A70BC8" w:rsidRDefault="00A70BC8" w:rsidP="00A70BC8">
      <w:pPr>
        <w:pStyle w:val="Heading2"/>
      </w:pPr>
      <w:r w:rsidRPr="00A70BC8">
        <w:t>Clinical Symptoms: </w:t>
      </w:r>
    </w:p>
    <w:p w14:paraId="0D95481B" w14:textId="1AD87FD5" w:rsidR="00A70BC8" w:rsidRPr="00A70BC8" w:rsidRDefault="00A70BC8" w:rsidP="00A70BC8">
      <w:r w:rsidRPr="00A70BC8">
        <w:t>Patients typically report </w:t>
      </w:r>
      <w:r w:rsidRPr="00A70BC8">
        <w:rPr>
          <w:b/>
          <w:bCs/>
        </w:rPr>
        <w:t>diffuse pain</w:t>
      </w:r>
      <w:r w:rsidRPr="00A70BC8">
        <w:t> about the ankle, specifically felt anterolaterally and proximal to the joint line. Pain is often exacerbated by </w:t>
      </w:r>
      <w:r w:rsidRPr="00A70BC8">
        <w:rPr>
          <w:b/>
          <w:bCs/>
        </w:rPr>
        <w:t>weight-bearing</w:t>
      </w:r>
      <w:r w:rsidRPr="00A70BC8">
        <w:t>, pivoting, walking up hills, or performing a single-leg heel raise. Swelling and bruising may be less pronounced than in typical lateral sprains because the damaged tissue is extracapsular.</w:t>
      </w:r>
    </w:p>
    <w:p w14:paraId="2F9A2602" w14:textId="77777777" w:rsidR="00A70BC8" w:rsidRDefault="00A70BC8" w:rsidP="00A70BC8">
      <w:pPr>
        <w:pStyle w:val="Heading2"/>
      </w:pPr>
      <w:r w:rsidRPr="00A70BC8">
        <w:lastRenderedPageBreak/>
        <w:t>Physical Examination: </w:t>
      </w:r>
    </w:p>
    <w:p w14:paraId="32FBFD3D" w14:textId="224441B9" w:rsidR="00A70BC8" w:rsidRPr="00A70BC8" w:rsidRDefault="00A70BC8" w:rsidP="00A70BC8">
      <w:r w:rsidRPr="00A70BC8">
        <w:t>Tenderness is usually present over the </w:t>
      </w:r>
      <w:r w:rsidRPr="00A70BC8">
        <w:rPr>
          <w:b/>
          <w:bCs/>
        </w:rPr>
        <w:t>anterior inferior tibiofibular ligament (AITFL)</w:t>
      </w:r>
      <w:r w:rsidRPr="00A70BC8">
        <w:t> and may extend proximally up the leg ("tenderness length"). Several provocative tests are used:</w:t>
      </w:r>
    </w:p>
    <w:p w14:paraId="082EE74D" w14:textId="77777777" w:rsidR="00A70BC8" w:rsidRPr="00A70BC8" w:rsidRDefault="00A70BC8" w:rsidP="00A70BC8">
      <w:r w:rsidRPr="00A70BC8">
        <w:t>    ◦ </w:t>
      </w:r>
      <w:r w:rsidRPr="00A70BC8">
        <w:rPr>
          <w:b/>
          <w:bCs/>
        </w:rPr>
        <w:t>Squeeze Test:</w:t>
      </w:r>
      <w:r w:rsidRPr="00A70BC8">
        <w:t> Compressing the mid-calf reproduces pain at the distal syndesmosis.</w:t>
      </w:r>
    </w:p>
    <w:p w14:paraId="0A6C3C28" w14:textId="77777777" w:rsidR="00A70BC8" w:rsidRPr="00A70BC8" w:rsidRDefault="00A70BC8" w:rsidP="00A70BC8">
      <w:r w:rsidRPr="00A70BC8">
        <w:t>    ◦ </w:t>
      </w:r>
      <w:r w:rsidRPr="00A70BC8">
        <w:rPr>
          <w:b/>
          <w:bCs/>
        </w:rPr>
        <w:t>External Rotation Stress Test:</w:t>
      </w:r>
      <w:r w:rsidRPr="00A70BC8">
        <w:t> Applying external rotation force to the foot with the knee flexed reproduces pain.</w:t>
      </w:r>
    </w:p>
    <w:p w14:paraId="754C936F" w14:textId="77777777" w:rsidR="00A70BC8" w:rsidRPr="00A70BC8" w:rsidRDefault="00A70BC8" w:rsidP="00A70BC8">
      <w:r w:rsidRPr="00A70BC8">
        <w:t>    ◦ </w:t>
      </w:r>
      <w:r w:rsidRPr="00A70BC8">
        <w:rPr>
          <w:b/>
          <w:bCs/>
        </w:rPr>
        <w:t>Cotton Test:</w:t>
      </w:r>
      <w:r w:rsidRPr="00A70BC8">
        <w:t> Medial and lateral forces applied to the talus to detect increased mediolateral movement.</w:t>
      </w:r>
    </w:p>
    <w:p w14:paraId="15C0FF6A" w14:textId="77777777" w:rsidR="00A70BC8" w:rsidRPr="00A70BC8" w:rsidRDefault="00A70BC8" w:rsidP="00A70BC8">
      <w:r w:rsidRPr="00A70BC8">
        <w:t>    ◦ </w:t>
      </w:r>
      <w:r w:rsidRPr="00A70BC8">
        <w:rPr>
          <w:b/>
          <w:bCs/>
        </w:rPr>
        <w:t>Fibular Translation Test:</w:t>
      </w:r>
      <w:r w:rsidRPr="00A70BC8">
        <w:t> Attempting to translate the fibula anteriorly and posteriorly on the tibia.</w:t>
      </w:r>
    </w:p>
    <w:p w14:paraId="6775B4F2" w14:textId="35D9A10D" w:rsidR="00A70BC8" w:rsidRDefault="00A70BC8" w:rsidP="00A70BC8">
      <w:pPr>
        <w:pStyle w:val="Heading2"/>
      </w:pPr>
      <w:r w:rsidRPr="00A70BC8">
        <w:t>Diagnostic Tools: </w:t>
      </w:r>
    </w:p>
    <w:p w14:paraId="2813432D" w14:textId="47B0DF5C" w:rsidR="00A70BC8" w:rsidRPr="00A70BC8" w:rsidRDefault="00A70BC8" w:rsidP="00A70BC8">
      <w:r w:rsidRPr="00A70BC8">
        <w:t>Clinicians cannot rely on a single physical test; a combination is required. </w:t>
      </w:r>
      <w:r w:rsidRPr="00A70BC8">
        <w:rPr>
          <w:b/>
          <w:bCs/>
        </w:rPr>
        <w:t>MRI is the gold standard</w:t>
      </w:r>
      <w:r w:rsidRPr="00A70BC8">
        <w:t>, offering high sensitivity and specificity for acute tears. Radiographs are used to rule out fractures and check for </w:t>
      </w:r>
      <w:r w:rsidRPr="00A70BC8">
        <w:rPr>
          <w:b/>
          <w:bCs/>
        </w:rPr>
        <w:t>diastasis</w:t>
      </w:r>
      <w:r w:rsidRPr="00A70BC8">
        <w:t> (widening of the tibiofibular clear space).</w:t>
      </w:r>
    </w:p>
    <w:p w14:paraId="0604DBA2" w14:textId="77777777" w:rsidR="00A70BC8" w:rsidRPr="00A70BC8" w:rsidRDefault="00A70BC8" w:rsidP="00A70BC8">
      <w:pPr>
        <w:pStyle w:val="Heading1"/>
      </w:pPr>
      <w:r w:rsidRPr="00A70BC8">
        <w:t>Management</w:t>
      </w:r>
    </w:p>
    <w:p w14:paraId="036A97DE" w14:textId="77777777" w:rsidR="00A70BC8" w:rsidRPr="00A70BC8" w:rsidRDefault="00A70BC8" w:rsidP="00A70BC8">
      <w:r w:rsidRPr="00A70BC8">
        <w:t>Management is dictated by the </w:t>
      </w:r>
      <w:r w:rsidRPr="00A70BC8">
        <w:rPr>
          <w:b/>
          <w:bCs/>
        </w:rPr>
        <w:t>grade of injury</w:t>
      </w:r>
      <w:r w:rsidRPr="00A70BC8">
        <w:t> and the presence of associated fractures.</w:t>
      </w:r>
    </w:p>
    <w:p w14:paraId="2B50D41A" w14:textId="77777777" w:rsidR="00A70BC8" w:rsidRPr="00A70BC8" w:rsidRDefault="00A70BC8" w:rsidP="00A70BC8">
      <w:pPr>
        <w:pStyle w:val="Heading2"/>
      </w:pPr>
      <w:r w:rsidRPr="00A70BC8">
        <w:t>Nonoperative Management</w:t>
      </w:r>
    </w:p>
    <w:p w14:paraId="56E5A29D" w14:textId="77777777" w:rsidR="00A70BC8" w:rsidRPr="00A70BC8" w:rsidRDefault="00A70BC8" w:rsidP="00A70BC8">
      <w:r w:rsidRPr="00A70BC8">
        <w:t>Reserved for </w:t>
      </w:r>
      <w:r w:rsidRPr="00A70BC8">
        <w:rPr>
          <w:b/>
          <w:bCs/>
        </w:rPr>
        <w:t>Grade 1 (stable)</w:t>
      </w:r>
      <w:r w:rsidRPr="00A70BC8">
        <w:t> and stable </w:t>
      </w:r>
      <w:r w:rsidRPr="00A70BC8">
        <w:rPr>
          <w:b/>
          <w:bCs/>
        </w:rPr>
        <w:t>Grade 2 (partial disruption)</w:t>
      </w:r>
      <w:r w:rsidRPr="00A70BC8">
        <w:t> injuries where no diastasis is visible on imaging.</w:t>
      </w:r>
    </w:p>
    <w:p w14:paraId="429C5194" w14:textId="77777777" w:rsidR="00A70BC8" w:rsidRPr="00A70BC8" w:rsidRDefault="00A70BC8" w:rsidP="00A70BC8">
      <w:r w:rsidRPr="00A70BC8">
        <w:t>• </w:t>
      </w:r>
      <w:r w:rsidRPr="00A70BC8">
        <w:rPr>
          <w:b/>
          <w:bCs/>
        </w:rPr>
        <w:t>Acute Phase:</w:t>
      </w:r>
      <w:r w:rsidRPr="00A70BC8">
        <w:t> Initial </w:t>
      </w:r>
      <w:r w:rsidRPr="00A70BC8">
        <w:rPr>
          <w:b/>
          <w:bCs/>
        </w:rPr>
        <w:t>immobilisation</w:t>
      </w:r>
      <w:r w:rsidRPr="00A70BC8">
        <w:t> and non-weight-bearing (often in a cast or CAM boot) for the first few days, typically progressing to protected weight-bearing by day seven.</w:t>
      </w:r>
    </w:p>
    <w:p w14:paraId="01F26DDD" w14:textId="77777777" w:rsidR="00A70BC8" w:rsidRPr="00A70BC8" w:rsidRDefault="00A70BC8" w:rsidP="00A70BC8">
      <w:r w:rsidRPr="00A70BC8">
        <w:t>• </w:t>
      </w:r>
      <w:r w:rsidRPr="00A70BC8">
        <w:rPr>
          <w:b/>
          <w:bCs/>
        </w:rPr>
        <w:t>Rehabilitation:</w:t>
      </w:r>
      <w:r w:rsidRPr="00A70BC8">
        <w:t> Focuses on restoring range of motion (ROM) and proprioception. </w:t>
      </w:r>
      <w:r w:rsidRPr="00A70BC8">
        <w:rPr>
          <w:b/>
          <w:bCs/>
        </w:rPr>
        <w:t>Accelerated rehabilitation</w:t>
      </w:r>
      <w:r w:rsidRPr="00A70BC8">
        <w:t> protocols are increasingly debated, emphasizing early loading while protecting the healing ligaments.</w:t>
      </w:r>
    </w:p>
    <w:p w14:paraId="4C6D7B9F" w14:textId="77777777" w:rsidR="00A70BC8" w:rsidRPr="00A70BC8" w:rsidRDefault="00A70BC8" w:rsidP="00A70BC8">
      <w:pPr>
        <w:pStyle w:val="Heading2"/>
      </w:pPr>
      <w:r w:rsidRPr="00A70BC8">
        <w:t>Operative Management</w:t>
      </w:r>
    </w:p>
    <w:p w14:paraId="1F2C4F6B" w14:textId="77777777" w:rsidR="00A70BC8" w:rsidRPr="00A70BC8" w:rsidRDefault="00A70BC8" w:rsidP="00A70BC8">
      <w:r w:rsidRPr="00A70BC8">
        <w:t>Indicated for </w:t>
      </w:r>
      <w:r w:rsidRPr="00A70BC8">
        <w:rPr>
          <w:b/>
          <w:bCs/>
        </w:rPr>
        <w:t>Grade 3 (unstable)</w:t>
      </w:r>
      <w:r w:rsidRPr="00A70BC8">
        <w:t> injuries, unstable Grade 2 injuries, and those associated with fractures (e.g., Weber B, Weber C, or Maisonneuve fractures).</w:t>
      </w:r>
    </w:p>
    <w:p w14:paraId="01EF7F63" w14:textId="77777777" w:rsidR="00A70BC8" w:rsidRPr="00A70BC8" w:rsidRDefault="00A70BC8" w:rsidP="00A70BC8">
      <w:r w:rsidRPr="00A70BC8">
        <w:t>• </w:t>
      </w:r>
      <w:r w:rsidRPr="00A70BC8">
        <w:rPr>
          <w:b/>
          <w:bCs/>
        </w:rPr>
        <w:t>Reduction:</w:t>
      </w:r>
      <w:r w:rsidRPr="00A70BC8">
        <w:t> The primary goal is </w:t>
      </w:r>
      <w:r w:rsidRPr="00A70BC8">
        <w:rPr>
          <w:b/>
          <w:bCs/>
        </w:rPr>
        <w:t>anatomic reduction</w:t>
      </w:r>
      <w:r w:rsidRPr="00A70BC8">
        <w:t xml:space="preserve">—aligning the fibula correctly within the tibial incisura—as </w:t>
      </w:r>
      <w:proofErr w:type="spellStart"/>
      <w:r w:rsidRPr="00A70BC8">
        <w:t>malreduction</w:t>
      </w:r>
      <w:proofErr w:type="spellEnd"/>
      <w:r w:rsidRPr="00A70BC8">
        <w:t xml:space="preserve"> is the strongest predictor of poor outcomes.</w:t>
      </w:r>
    </w:p>
    <w:p w14:paraId="5BF69F54" w14:textId="77777777" w:rsidR="00A70BC8" w:rsidRPr="00A70BC8" w:rsidRDefault="00A70BC8" w:rsidP="00A70BC8">
      <w:r w:rsidRPr="00A70BC8">
        <w:t>• </w:t>
      </w:r>
      <w:r w:rsidRPr="00A70BC8">
        <w:rPr>
          <w:b/>
          <w:bCs/>
        </w:rPr>
        <w:t>Fixation Techniques:</w:t>
      </w:r>
    </w:p>
    <w:p w14:paraId="1F4B335C" w14:textId="77777777" w:rsidR="00A70BC8" w:rsidRPr="00A70BC8" w:rsidRDefault="00A70BC8" w:rsidP="00A70BC8">
      <w:r w:rsidRPr="00A70BC8">
        <w:t>    ◦ </w:t>
      </w:r>
      <w:r w:rsidRPr="00A70BC8">
        <w:rPr>
          <w:b/>
          <w:bCs/>
        </w:rPr>
        <w:t>Rigid Fixation (Screws):</w:t>
      </w:r>
      <w:r w:rsidRPr="00A70BC8">
        <w:t> Uses metallic or bioabsorbable trans-syndesmotic screws to immobilise the joint. Screws often require removal after 6–12 weeks to restore physiologic motion and prevent hardware breakage.</w:t>
      </w:r>
    </w:p>
    <w:p w14:paraId="22FE12BC" w14:textId="77777777" w:rsidR="00A70BC8" w:rsidRPr="00A70BC8" w:rsidRDefault="00A70BC8" w:rsidP="00A70BC8">
      <w:r w:rsidRPr="00A70BC8">
        <w:lastRenderedPageBreak/>
        <w:t>    ◦ </w:t>
      </w:r>
      <w:r w:rsidRPr="00A70BC8">
        <w:rPr>
          <w:b/>
          <w:bCs/>
        </w:rPr>
        <w:t>Flexible Fixation (Suture Buttons):</w:t>
      </w:r>
      <w:r w:rsidRPr="00A70BC8">
        <w:t xml:space="preserve"> Uses a non-absorbable </w:t>
      </w:r>
      <w:proofErr w:type="spellStart"/>
      <w:r w:rsidRPr="00A70BC8">
        <w:t>fiber</w:t>
      </w:r>
      <w:proofErr w:type="spellEnd"/>
      <w:r w:rsidRPr="00A70BC8">
        <w:t xml:space="preserve"> wire construct (e.g., </w:t>
      </w:r>
      <w:proofErr w:type="spellStart"/>
      <w:r w:rsidRPr="00A70BC8">
        <w:t>TightRope</w:t>
      </w:r>
      <w:proofErr w:type="spellEnd"/>
      <w:r w:rsidRPr="00A70BC8">
        <w:t>). This allows </w:t>
      </w:r>
      <w:r w:rsidRPr="00A70BC8">
        <w:rPr>
          <w:b/>
          <w:bCs/>
        </w:rPr>
        <w:t>physiologic micromotion</w:t>
      </w:r>
      <w:r w:rsidRPr="00A70BC8">
        <w:t> (</w:t>
      </w:r>
      <w:proofErr w:type="spellStart"/>
      <w:r w:rsidRPr="00A70BC8">
        <w:t>pistoning</w:t>
      </w:r>
      <w:proofErr w:type="spellEnd"/>
      <w:r w:rsidRPr="00A70BC8">
        <w:t xml:space="preserve"> and rotation) of the fibula and generally </w:t>
      </w:r>
      <w:r w:rsidRPr="00A70BC8">
        <w:rPr>
          <w:b/>
          <w:bCs/>
        </w:rPr>
        <w:t>obviates the need for a second surgery</w:t>
      </w:r>
      <w:r w:rsidRPr="00A70BC8">
        <w:t> for hardware removal.</w:t>
      </w:r>
    </w:p>
    <w:p w14:paraId="082186A0" w14:textId="77777777" w:rsidR="00A70BC8" w:rsidRPr="00A70BC8" w:rsidRDefault="00A70BC8" w:rsidP="00A70BC8">
      <w:r w:rsidRPr="00A70BC8">
        <w:t>• </w:t>
      </w:r>
      <w:r w:rsidRPr="00A70BC8">
        <w:rPr>
          <w:b/>
          <w:bCs/>
        </w:rPr>
        <w:t>Return to Sport Continuum:</w:t>
      </w:r>
      <w:r w:rsidRPr="00A70BC8">
        <w:t> The return to performance is a gradual process. For professional athletes, the mean time to begin on-field rehabilitation is approximately </w:t>
      </w:r>
      <w:r w:rsidRPr="00A70BC8">
        <w:rPr>
          <w:b/>
          <w:bCs/>
        </w:rPr>
        <w:t>37 days</w:t>
      </w:r>
      <w:r w:rsidRPr="00A70BC8">
        <w:t>, with a return to official match play taking an average of </w:t>
      </w:r>
      <w:r w:rsidRPr="00A70BC8">
        <w:rPr>
          <w:b/>
          <w:bCs/>
        </w:rPr>
        <w:t>103 days</w:t>
      </w:r>
      <w:r w:rsidRPr="00A70BC8">
        <w:t> post-surgery</w:t>
      </w:r>
    </w:p>
    <w:p w14:paraId="226DEF65" w14:textId="77777777" w:rsidR="00A70BC8" w:rsidRPr="00A70BC8" w:rsidRDefault="00A70BC8" w:rsidP="00A70BC8"/>
    <w:sectPr w:rsidR="00A70BC8" w:rsidRPr="00A70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C8"/>
    <w:rsid w:val="000C0856"/>
    <w:rsid w:val="00461D43"/>
    <w:rsid w:val="00626871"/>
    <w:rsid w:val="006C097A"/>
    <w:rsid w:val="00706006"/>
    <w:rsid w:val="00877577"/>
    <w:rsid w:val="00A70BC8"/>
    <w:rsid w:val="00B652C1"/>
    <w:rsid w:val="00E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74FC"/>
  <w15:chartTrackingRefBased/>
  <w15:docId w15:val="{DDB4DBD7-9901-48F9-B435-ACABC218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3999</Characters>
  <Application>Microsoft Office Word</Application>
  <DocSecurity>0</DocSecurity>
  <Lines>67</Lines>
  <Paragraphs>35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Whiteley</dc:creator>
  <cp:keywords/>
  <dc:description/>
  <cp:lastModifiedBy>Rodney Whiteley</cp:lastModifiedBy>
  <cp:revision>1</cp:revision>
  <dcterms:created xsi:type="dcterms:W3CDTF">2026-02-01T07:42:00Z</dcterms:created>
  <dcterms:modified xsi:type="dcterms:W3CDTF">2026-02-01T07:44:00Z</dcterms:modified>
</cp:coreProperties>
</file>